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60E2A" w14:textId="77777777" w:rsidR="001C374C" w:rsidRDefault="001C374C" w:rsidP="00FF3389">
      <w:pPr>
        <w:rPr>
          <w:rFonts w:ascii="Palatino Linotype" w:hAnsi="Palatino Linotype"/>
          <w:b/>
          <w:bCs/>
          <w:sz w:val="22"/>
          <w:szCs w:val="22"/>
        </w:rPr>
      </w:pPr>
    </w:p>
    <w:p w14:paraId="33EA44EA" w14:textId="42A8349E" w:rsidR="001C374C" w:rsidRPr="001C374C" w:rsidRDefault="001C374C" w:rsidP="00FF3389">
      <w:pPr>
        <w:rPr>
          <w:rFonts w:ascii="Palatino Linotype" w:hAnsi="Palatino Linotype"/>
          <w:b/>
          <w:bCs/>
          <w:sz w:val="22"/>
          <w:szCs w:val="22"/>
          <w:u w:val="single"/>
        </w:rPr>
      </w:pPr>
      <w:r w:rsidRPr="001C374C">
        <w:rPr>
          <w:rFonts w:ascii="Palatino Linotype" w:hAnsi="Palatino Linotype"/>
          <w:b/>
          <w:bCs/>
          <w:sz w:val="22"/>
          <w:szCs w:val="22"/>
          <w:u w:val="single"/>
        </w:rPr>
        <w:t>Depesza prasowa</w:t>
      </w:r>
    </w:p>
    <w:p w14:paraId="3D628ED0" w14:textId="77777777" w:rsidR="001C374C" w:rsidRDefault="001C374C" w:rsidP="00FF3389">
      <w:pPr>
        <w:rPr>
          <w:rFonts w:ascii="Palatino Linotype" w:hAnsi="Palatino Linotype"/>
          <w:b/>
          <w:bCs/>
          <w:sz w:val="22"/>
          <w:szCs w:val="22"/>
        </w:rPr>
      </w:pPr>
    </w:p>
    <w:p w14:paraId="3CD3F32A" w14:textId="77777777" w:rsidR="00FF3389" w:rsidRPr="002F2C2C" w:rsidRDefault="00FF3389" w:rsidP="00FF3389">
      <w:pPr>
        <w:rPr>
          <w:rFonts w:ascii="Palatino Linotype" w:hAnsi="Palatino Linotype"/>
          <w:sz w:val="22"/>
          <w:szCs w:val="22"/>
        </w:rPr>
      </w:pPr>
    </w:p>
    <w:p w14:paraId="129C1A1E" w14:textId="77777777" w:rsidR="00FF3389" w:rsidRPr="002F2C2C" w:rsidRDefault="00FF3389" w:rsidP="00FF3389">
      <w:pPr>
        <w:jc w:val="both"/>
        <w:rPr>
          <w:rFonts w:ascii="Palatino Linotype" w:hAnsi="Palatino Linotype"/>
          <w:sz w:val="22"/>
          <w:szCs w:val="22"/>
        </w:rPr>
      </w:pPr>
    </w:p>
    <w:p w14:paraId="51F896D7" w14:textId="4C06239F" w:rsidR="00952C79" w:rsidRDefault="00952C79" w:rsidP="00952C79">
      <w:pPr>
        <w:jc w:val="center"/>
        <w:rPr>
          <w:rFonts w:ascii="Palatino Linotype" w:hAnsi="Palatino Linotype"/>
          <w:b/>
          <w:bCs/>
          <w:sz w:val="28"/>
          <w:szCs w:val="28"/>
        </w:rPr>
      </w:pPr>
      <w:r>
        <w:rPr>
          <w:rFonts w:ascii="Palatino Linotype" w:hAnsi="Palatino Linotype"/>
          <w:b/>
          <w:bCs/>
          <w:sz w:val="28"/>
          <w:szCs w:val="28"/>
        </w:rPr>
        <w:t>„Uchwała frankowa” Sądu Najwyższego</w:t>
      </w:r>
    </w:p>
    <w:p w14:paraId="48BF8BAC" w14:textId="77777777" w:rsidR="00952C79" w:rsidRDefault="00952C79" w:rsidP="00FF3389">
      <w:pPr>
        <w:jc w:val="both"/>
        <w:rPr>
          <w:rFonts w:ascii="Palatino Linotype" w:hAnsi="Palatino Linotype"/>
          <w:b/>
          <w:bCs/>
          <w:sz w:val="28"/>
          <w:szCs w:val="28"/>
        </w:rPr>
      </w:pPr>
    </w:p>
    <w:p w14:paraId="0929DC67" w14:textId="22916953" w:rsidR="00FF3389" w:rsidRPr="00952C79" w:rsidRDefault="00FF3389" w:rsidP="00FF3389">
      <w:pPr>
        <w:jc w:val="both"/>
        <w:rPr>
          <w:rFonts w:ascii="Palatino Linotype" w:hAnsi="Palatino Linotype"/>
          <w:sz w:val="28"/>
          <w:szCs w:val="28"/>
        </w:rPr>
      </w:pPr>
      <w:r w:rsidRPr="00952C79">
        <w:rPr>
          <w:rFonts w:ascii="Palatino Linotype" w:hAnsi="Palatino Linotype"/>
          <w:b/>
          <w:bCs/>
          <w:sz w:val="28"/>
          <w:szCs w:val="28"/>
        </w:rPr>
        <w:t xml:space="preserve">Jakie zmiany wprowadziła </w:t>
      </w:r>
      <w:r w:rsidR="002F2C2C" w:rsidRPr="00952C79">
        <w:rPr>
          <w:rFonts w:ascii="Palatino Linotype" w:hAnsi="Palatino Linotype"/>
          <w:b/>
          <w:bCs/>
          <w:sz w:val="28"/>
          <w:szCs w:val="28"/>
        </w:rPr>
        <w:t>„</w:t>
      </w:r>
      <w:r w:rsidRPr="00952C79">
        <w:rPr>
          <w:rFonts w:ascii="Palatino Linotype" w:hAnsi="Palatino Linotype"/>
          <w:b/>
          <w:bCs/>
          <w:sz w:val="28"/>
          <w:szCs w:val="28"/>
        </w:rPr>
        <w:t>Uchwała frankowa</w:t>
      </w:r>
      <w:r w:rsidR="002F2C2C" w:rsidRPr="00952C79">
        <w:rPr>
          <w:rFonts w:ascii="Palatino Linotype" w:hAnsi="Palatino Linotype"/>
          <w:b/>
          <w:bCs/>
          <w:sz w:val="28"/>
          <w:szCs w:val="28"/>
        </w:rPr>
        <w:t>”</w:t>
      </w:r>
      <w:r w:rsidRPr="00952C79">
        <w:rPr>
          <w:rFonts w:ascii="Palatino Linotype" w:hAnsi="Palatino Linotype"/>
          <w:b/>
          <w:bCs/>
          <w:sz w:val="28"/>
          <w:szCs w:val="28"/>
        </w:rPr>
        <w:t xml:space="preserve"> Sądu Najwyższego </w:t>
      </w:r>
      <w:r w:rsidR="00952C79">
        <w:rPr>
          <w:rFonts w:ascii="Palatino Linotype" w:hAnsi="Palatino Linotype"/>
          <w:b/>
          <w:bCs/>
          <w:sz w:val="28"/>
          <w:szCs w:val="28"/>
        </w:rPr>
        <w:br/>
      </w:r>
      <w:r w:rsidRPr="00952C79">
        <w:rPr>
          <w:rFonts w:ascii="Palatino Linotype" w:hAnsi="Palatino Linotype"/>
          <w:b/>
          <w:bCs/>
          <w:sz w:val="28"/>
          <w:szCs w:val="28"/>
        </w:rPr>
        <w:t xml:space="preserve">z 25 kwietnia 2024 roku? Jakie możliwości i prawa mają </w:t>
      </w:r>
      <w:proofErr w:type="spellStart"/>
      <w:r w:rsidRPr="00952C79">
        <w:rPr>
          <w:rFonts w:ascii="Palatino Linotype" w:hAnsi="Palatino Linotype"/>
          <w:b/>
          <w:bCs/>
          <w:sz w:val="28"/>
          <w:szCs w:val="28"/>
        </w:rPr>
        <w:t>Frankowicze</w:t>
      </w:r>
      <w:proofErr w:type="spellEnd"/>
      <w:r w:rsidRPr="00952C79">
        <w:rPr>
          <w:rFonts w:ascii="Palatino Linotype" w:hAnsi="Palatino Linotype"/>
          <w:b/>
          <w:bCs/>
          <w:sz w:val="28"/>
          <w:szCs w:val="28"/>
        </w:rPr>
        <w:t xml:space="preserve"> w świetle nowej uchwały? Czy spodziewamy się kolejnych zmian?</w:t>
      </w:r>
      <w:r w:rsidRPr="00952C79">
        <w:rPr>
          <w:rFonts w:ascii="Palatino Linotype" w:hAnsi="Palatino Linotype"/>
          <w:sz w:val="28"/>
          <w:szCs w:val="28"/>
        </w:rPr>
        <w:t xml:space="preserve"> </w:t>
      </w:r>
    </w:p>
    <w:p w14:paraId="295271FF" w14:textId="77777777" w:rsidR="001C374C" w:rsidRDefault="001C374C" w:rsidP="00FF3389">
      <w:pPr>
        <w:jc w:val="both"/>
        <w:rPr>
          <w:rFonts w:ascii="Palatino Linotype" w:hAnsi="Palatino Linotype"/>
          <w:sz w:val="22"/>
          <w:szCs w:val="22"/>
        </w:rPr>
      </w:pPr>
    </w:p>
    <w:p w14:paraId="66E6368C" w14:textId="2D5C4C58" w:rsidR="001C374C" w:rsidRPr="002F2C2C" w:rsidRDefault="001C374C" w:rsidP="001C374C">
      <w:pPr>
        <w:rPr>
          <w:rFonts w:ascii="Palatino Linotype" w:hAnsi="Palatino Linotype"/>
          <w:b/>
          <w:bCs/>
          <w:sz w:val="22"/>
          <w:szCs w:val="22"/>
        </w:rPr>
      </w:pPr>
      <w:r>
        <w:rPr>
          <w:rFonts w:ascii="Palatino Linotype" w:hAnsi="Palatino Linotype"/>
          <w:b/>
          <w:bCs/>
          <w:sz w:val="22"/>
          <w:szCs w:val="22"/>
        </w:rPr>
        <w:t xml:space="preserve">adw. Karolina Pilawska, </w:t>
      </w:r>
      <w:r w:rsidRPr="002F2C2C">
        <w:rPr>
          <w:rFonts w:ascii="Palatino Linotype" w:hAnsi="Palatino Linotype"/>
          <w:b/>
          <w:bCs/>
          <w:sz w:val="22"/>
          <w:szCs w:val="22"/>
        </w:rPr>
        <w:t xml:space="preserve">Pilawska Zorski Adwokaci </w:t>
      </w:r>
    </w:p>
    <w:p w14:paraId="5AEC1A41" w14:textId="77777777" w:rsidR="001C374C" w:rsidRPr="002F2C2C" w:rsidRDefault="001C374C" w:rsidP="00FF3389">
      <w:pPr>
        <w:jc w:val="both"/>
        <w:rPr>
          <w:rFonts w:ascii="Palatino Linotype" w:hAnsi="Palatino Linotype"/>
          <w:sz w:val="22"/>
          <w:szCs w:val="22"/>
        </w:rPr>
      </w:pPr>
    </w:p>
    <w:p w14:paraId="353F3A7A" w14:textId="77777777" w:rsidR="002F2C2C" w:rsidRPr="002F2C2C" w:rsidRDefault="002F2C2C" w:rsidP="002F2C2C">
      <w:pPr>
        <w:jc w:val="both"/>
        <w:rPr>
          <w:rFonts w:ascii="Palatino Linotype" w:hAnsi="Palatino Linotype"/>
          <w:sz w:val="22"/>
          <w:szCs w:val="22"/>
        </w:rPr>
      </w:pPr>
    </w:p>
    <w:p w14:paraId="54EDD133" w14:textId="057C4AE7" w:rsidR="002F2C2C" w:rsidRPr="002F2C2C" w:rsidRDefault="002F2C2C" w:rsidP="002F2C2C">
      <w:pPr>
        <w:jc w:val="both"/>
        <w:rPr>
          <w:rFonts w:ascii="Palatino Linotype" w:hAnsi="Palatino Linotype"/>
          <w:sz w:val="22"/>
          <w:szCs w:val="22"/>
        </w:rPr>
      </w:pPr>
      <w:r w:rsidRPr="002F2C2C">
        <w:rPr>
          <w:rFonts w:ascii="Palatino Linotype" w:hAnsi="Palatino Linotype"/>
          <w:sz w:val="22"/>
          <w:szCs w:val="22"/>
        </w:rPr>
        <w:t>25 kwietnia 2024 roku pozn</w:t>
      </w:r>
      <w:r>
        <w:rPr>
          <w:rFonts w:ascii="Palatino Linotype" w:hAnsi="Palatino Linotype"/>
          <w:sz w:val="22"/>
          <w:szCs w:val="22"/>
        </w:rPr>
        <w:t xml:space="preserve">aliśmy </w:t>
      </w:r>
      <w:r w:rsidRPr="002F2C2C">
        <w:rPr>
          <w:rFonts w:ascii="Palatino Linotype" w:hAnsi="Palatino Linotype"/>
          <w:sz w:val="22"/>
          <w:szCs w:val="22"/>
        </w:rPr>
        <w:t xml:space="preserve">kolejny rozdział wieloletniej już sagi związanej </w:t>
      </w:r>
      <w:r w:rsidR="00952C79">
        <w:rPr>
          <w:rFonts w:ascii="Palatino Linotype" w:hAnsi="Palatino Linotype"/>
          <w:sz w:val="22"/>
          <w:szCs w:val="22"/>
        </w:rPr>
        <w:br/>
      </w:r>
      <w:r w:rsidRPr="002F2C2C">
        <w:rPr>
          <w:rFonts w:ascii="Palatino Linotype" w:hAnsi="Palatino Linotype"/>
          <w:sz w:val="22"/>
          <w:szCs w:val="22"/>
        </w:rPr>
        <w:t xml:space="preserve">z wydaniem tzw. uchwały frankowej przez Sąd Najwyższy w pełnym składzie Izby Cywilnej. </w:t>
      </w:r>
      <w:r>
        <w:rPr>
          <w:rFonts w:ascii="Palatino Linotype" w:hAnsi="Palatino Linotype"/>
          <w:sz w:val="22"/>
          <w:szCs w:val="22"/>
        </w:rPr>
        <w:t>Uchwała, podjęta w składzie 18 sędziów Izby Cywilnej, pomimo pojawiających się obaw</w:t>
      </w:r>
      <w:r w:rsidR="00D24FE6">
        <w:rPr>
          <w:rFonts w:ascii="Palatino Linotype" w:hAnsi="Palatino Linotype"/>
          <w:sz w:val="22"/>
          <w:szCs w:val="22"/>
        </w:rPr>
        <w:t xml:space="preserve"> czy w </w:t>
      </w:r>
      <w:r w:rsidR="001C374C">
        <w:rPr>
          <w:rFonts w:ascii="Palatino Linotype" w:hAnsi="Palatino Linotype"/>
          <w:sz w:val="22"/>
          <w:szCs w:val="22"/>
        </w:rPr>
        <w:t>ogóle zostanie podję</w:t>
      </w:r>
      <w:r w:rsidR="00D24FE6">
        <w:rPr>
          <w:rFonts w:ascii="Palatino Linotype" w:hAnsi="Palatino Linotype"/>
          <w:sz w:val="22"/>
          <w:szCs w:val="22"/>
        </w:rPr>
        <w:t>ta</w:t>
      </w:r>
      <w:r>
        <w:rPr>
          <w:rFonts w:ascii="Palatino Linotype" w:hAnsi="Palatino Linotype"/>
          <w:sz w:val="22"/>
          <w:szCs w:val="22"/>
        </w:rPr>
        <w:t xml:space="preserve">, jest niezwykle korzystna dla środowiska </w:t>
      </w:r>
      <w:proofErr w:type="spellStart"/>
      <w:r>
        <w:rPr>
          <w:rFonts w:ascii="Palatino Linotype" w:hAnsi="Palatino Linotype"/>
          <w:sz w:val="22"/>
          <w:szCs w:val="22"/>
        </w:rPr>
        <w:t>Frankowiczów</w:t>
      </w:r>
      <w:proofErr w:type="spellEnd"/>
      <w:r>
        <w:rPr>
          <w:rFonts w:ascii="Palatino Linotype" w:hAnsi="Palatino Linotype"/>
          <w:sz w:val="22"/>
          <w:szCs w:val="22"/>
        </w:rPr>
        <w:t xml:space="preserve"> w Polsce. Stanowisko Sądu Najwyższego potwierdziło bowiem dotychczasową linię orzeczniczą TSUE i sądów powszechnych w tzw. sprawach frankowych, choć zapewne dyskusja nad odpowiedziami na zagadnienia prawne była dość trudna, stąd 6 zdań odrębnych</w:t>
      </w:r>
      <w:r w:rsidR="00323715">
        <w:rPr>
          <w:rFonts w:ascii="Palatino Linotype" w:hAnsi="Palatino Linotype"/>
          <w:sz w:val="22"/>
          <w:szCs w:val="22"/>
        </w:rPr>
        <w:t xml:space="preserve">. </w:t>
      </w:r>
      <w:r w:rsidR="001C374C">
        <w:rPr>
          <w:rFonts w:ascii="Palatino Linotype" w:hAnsi="Palatino Linotype"/>
          <w:sz w:val="22"/>
          <w:szCs w:val="22"/>
        </w:rPr>
        <w:t xml:space="preserve">Natomiast </w:t>
      </w:r>
      <w:r w:rsidR="00C764AA">
        <w:rPr>
          <w:rFonts w:ascii="Palatino Linotype" w:hAnsi="Palatino Linotype"/>
          <w:sz w:val="22"/>
          <w:szCs w:val="22"/>
        </w:rPr>
        <w:t>s</w:t>
      </w:r>
      <w:r w:rsidR="00D24FE6">
        <w:rPr>
          <w:rFonts w:ascii="Palatino Linotype" w:hAnsi="Palatino Linotype"/>
          <w:sz w:val="22"/>
          <w:szCs w:val="22"/>
        </w:rPr>
        <w:t>ama Pierwsza Prezes Sądu Najwyższego stwierdziła, że jej zdaniem uchwała była potrzebna</w:t>
      </w:r>
      <w:r w:rsidR="008B52F0">
        <w:rPr>
          <w:rFonts w:ascii="Palatino Linotype" w:hAnsi="Palatino Linotype"/>
          <w:sz w:val="22"/>
          <w:szCs w:val="22"/>
        </w:rPr>
        <w:t>, szczególnie w kontekście konstruowania roszczeń w tzw. sprawach frankowych</w:t>
      </w:r>
      <w:r>
        <w:rPr>
          <w:rFonts w:ascii="Palatino Linotype" w:hAnsi="Palatino Linotype"/>
          <w:sz w:val="22"/>
          <w:szCs w:val="22"/>
        </w:rPr>
        <w:t xml:space="preserve">. Myślę, że tę uchwałę, nie wchodząc w dyskusję, czy została ona wydana przez prawidłowo powołanych sędziów czy też nie, możemy określić jako klamrę kompozycyjną sporu frankowego w naszym kraju, choć </w:t>
      </w:r>
      <w:r w:rsidR="00D24FE6">
        <w:rPr>
          <w:rFonts w:ascii="Palatino Linotype" w:hAnsi="Palatino Linotype"/>
          <w:sz w:val="22"/>
          <w:szCs w:val="22"/>
        </w:rPr>
        <w:t>nadal</w:t>
      </w:r>
      <w:r>
        <w:rPr>
          <w:rFonts w:ascii="Palatino Linotype" w:hAnsi="Palatino Linotype"/>
          <w:sz w:val="22"/>
          <w:szCs w:val="22"/>
        </w:rPr>
        <w:t xml:space="preserve"> tysiące kredytobiorców walczy w s</w:t>
      </w:r>
      <w:r w:rsidR="00D24FE6">
        <w:rPr>
          <w:rFonts w:ascii="Palatino Linotype" w:hAnsi="Palatino Linotype"/>
          <w:sz w:val="22"/>
          <w:szCs w:val="22"/>
        </w:rPr>
        <w:t>ą</w:t>
      </w:r>
      <w:r>
        <w:rPr>
          <w:rFonts w:ascii="Palatino Linotype" w:hAnsi="Palatino Linotype"/>
          <w:sz w:val="22"/>
          <w:szCs w:val="22"/>
        </w:rPr>
        <w:t xml:space="preserve">dach </w:t>
      </w:r>
      <w:r w:rsidR="00952C79">
        <w:rPr>
          <w:rFonts w:ascii="Palatino Linotype" w:hAnsi="Palatino Linotype"/>
          <w:sz w:val="22"/>
          <w:szCs w:val="22"/>
        </w:rPr>
        <w:br/>
      </w:r>
      <w:r>
        <w:rPr>
          <w:rFonts w:ascii="Palatino Linotype" w:hAnsi="Palatino Linotype"/>
          <w:sz w:val="22"/>
          <w:szCs w:val="22"/>
        </w:rPr>
        <w:t xml:space="preserve">i pewnie kolejne tysiące jeszcze nie podjęło decyzji o wszczęciu procesu sądowego. </w:t>
      </w:r>
    </w:p>
    <w:p w14:paraId="1B0C61A1" w14:textId="77777777" w:rsidR="002F2C2C" w:rsidRDefault="002F2C2C" w:rsidP="002F2C2C">
      <w:pPr>
        <w:jc w:val="both"/>
        <w:rPr>
          <w:rFonts w:ascii="Palatino Linotype" w:hAnsi="Palatino Linotype"/>
          <w:b/>
          <w:bCs/>
          <w:sz w:val="22"/>
          <w:szCs w:val="22"/>
        </w:rPr>
      </w:pPr>
    </w:p>
    <w:p w14:paraId="305C1FDE" w14:textId="77777777" w:rsidR="005D169F" w:rsidRPr="002F2C2C" w:rsidRDefault="005D169F" w:rsidP="002F2C2C">
      <w:pPr>
        <w:jc w:val="both"/>
        <w:rPr>
          <w:rFonts w:ascii="Palatino Linotype" w:hAnsi="Palatino Linotype"/>
          <w:b/>
          <w:bCs/>
          <w:sz w:val="22"/>
          <w:szCs w:val="22"/>
        </w:rPr>
      </w:pPr>
    </w:p>
    <w:p w14:paraId="450A129D" w14:textId="77777777" w:rsidR="002F2C2C" w:rsidRPr="002F2C2C" w:rsidRDefault="002F2C2C" w:rsidP="002F2C2C">
      <w:pPr>
        <w:jc w:val="both"/>
        <w:rPr>
          <w:rFonts w:ascii="Palatino Linotype" w:hAnsi="Palatino Linotype"/>
          <w:b/>
          <w:bCs/>
          <w:sz w:val="22"/>
          <w:szCs w:val="22"/>
        </w:rPr>
      </w:pPr>
      <w:r w:rsidRPr="002F2C2C">
        <w:rPr>
          <w:rFonts w:ascii="Palatino Linotype" w:hAnsi="Palatino Linotype"/>
          <w:b/>
          <w:bCs/>
          <w:sz w:val="22"/>
          <w:szCs w:val="22"/>
        </w:rPr>
        <w:t>Jakich zagadnień dotyczy „Uchwała frankowa”?</w:t>
      </w:r>
    </w:p>
    <w:p w14:paraId="2E78E28F" w14:textId="77777777" w:rsidR="002F2C2C" w:rsidRPr="002F2C2C" w:rsidRDefault="002F2C2C" w:rsidP="002F2C2C">
      <w:pPr>
        <w:jc w:val="both"/>
        <w:rPr>
          <w:rFonts w:ascii="Palatino Linotype" w:hAnsi="Palatino Linotype"/>
          <w:sz w:val="22"/>
          <w:szCs w:val="22"/>
        </w:rPr>
      </w:pPr>
    </w:p>
    <w:p w14:paraId="223A109A" w14:textId="2D69D962" w:rsidR="00D24FE6" w:rsidRPr="002F2C2C" w:rsidRDefault="002F2C2C" w:rsidP="002F2C2C">
      <w:pPr>
        <w:jc w:val="both"/>
        <w:rPr>
          <w:rFonts w:ascii="Palatino Linotype" w:hAnsi="Palatino Linotype"/>
          <w:sz w:val="22"/>
          <w:szCs w:val="22"/>
        </w:rPr>
      </w:pPr>
      <w:r w:rsidRPr="002F2C2C">
        <w:rPr>
          <w:rFonts w:ascii="Palatino Linotype" w:hAnsi="Palatino Linotype"/>
          <w:sz w:val="22"/>
          <w:szCs w:val="22"/>
        </w:rPr>
        <w:t>Pierwsza Prezes skonstruowała 6 zagadnień prawnych, które kompleksowo miały rozstrzygnąć spór frankowy w Polsce, zarówno w zakresie zasad rozstrzygani</w:t>
      </w:r>
      <w:r w:rsidR="00D24FE6">
        <w:rPr>
          <w:rFonts w:ascii="Palatino Linotype" w:hAnsi="Palatino Linotype"/>
          <w:sz w:val="22"/>
          <w:szCs w:val="22"/>
        </w:rPr>
        <w:t>a</w:t>
      </w:r>
      <w:r w:rsidRPr="002F2C2C">
        <w:rPr>
          <w:rFonts w:ascii="Palatino Linotype" w:hAnsi="Palatino Linotype"/>
          <w:sz w:val="22"/>
          <w:szCs w:val="22"/>
        </w:rPr>
        <w:t xml:space="preserve"> tego rodzaju spraw, jak i wzajemnych rozliczeń pomiędzy </w:t>
      </w:r>
      <w:proofErr w:type="spellStart"/>
      <w:r w:rsidRPr="002F2C2C">
        <w:rPr>
          <w:rFonts w:ascii="Palatino Linotype" w:hAnsi="Palatino Linotype"/>
          <w:sz w:val="22"/>
          <w:szCs w:val="22"/>
        </w:rPr>
        <w:t>Frankowiczami</w:t>
      </w:r>
      <w:proofErr w:type="spellEnd"/>
      <w:r w:rsidRPr="002F2C2C">
        <w:rPr>
          <w:rFonts w:ascii="Palatino Linotype" w:hAnsi="Palatino Linotype"/>
          <w:sz w:val="22"/>
          <w:szCs w:val="22"/>
        </w:rPr>
        <w:t xml:space="preserve"> a bankami. </w:t>
      </w:r>
      <w:r>
        <w:rPr>
          <w:rFonts w:ascii="Palatino Linotype" w:hAnsi="Palatino Linotype"/>
          <w:sz w:val="22"/>
          <w:szCs w:val="22"/>
        </w:rPr>
        <w:t xml:space="preserve">Wydaje się, że odpowiedzi Sądu Najwyższego są jednoznaczne i nie pozostawiają pola do dyskusji, co tylko powinno przyspieszyć rozpoznawanie </w:t>
      </w:r>
      <w:r w:rsidR="00D24FE6">
        <w:rPr>
          <w:rFonts w:ascii="Palatino Linotype" w:hAnsi="Palatino Linotype"/>
          <w:sz w:val="22"/>
          <w:szCs w:val="22"/>
        </w:rPr>
        <w:t xml:space="preserve">roszczeń </w:t>
      </w:r>
      <w:proofErr w:type="spellStart"/>
      <w:r w:rsidR="00D24FE6">
        <w:rPr>
          <w:rFonts w:ascii="Palatino Linotype" w:hAnsi="Palatino Linotype"/>
          <w:sz w:val="22"/>
          <w:szCs w:val="22"/>
        </w:rPr>
        <w:t>Frankowiczów</w:t>
      </w:r>
      <w:proofErr w:type="spellEnd"/>
      <w:r w:rsidR="00D24FE6">
        <w:rPr>
          <w:rFonts w:ascii="Palatino Linotype" w:hAnsi="Palatino Linotype"/>
          <w:sz w:val="22"/>
          <w:szCs w:val="22"/>
        </w:rPr>
        <w:t xml:space="preserve"> przez sądy</w:t>
      </w:r>
      <w:r w:rsidR="00736B2E">
        <w:rPr>
          <w:rFonts w:ascii="Palatino Linotype" w:hAnsi="Palatino Linotype"/>
          <w:sz w:val="22"/>
          <w:szCs w:val="22"/>
        </w:rPr>
        <w:t xml:space="preserve">. Zresztą widać to już w działaniu banków, które coraz częściej rezygnują z wnoszenia apelacji i sprawa kończy się prawomocnym wyrokiem już po I instancji. Co zatem stwierdził Sąd Najwyższy? </w:t>
      </w:r>
      <w:r w:rsidR="00D24FE6">
        <w:rPr>
          <w:rFonts w:ascii="Palatino Linotype" w:hAnsi="Palatino Linotype"/>
          <w:sz w:val="22"/>
          <w:szCs w:val="22"/>
        </w:rPr>
        <w:t xml:space="preserve">Co prawda pisemne uzasadnienie nie zostało jeszcze opublikowane, ale jako, że osobiście na sali rozpraw wysłuchałam tego orzeczenia i jego ustnego uzasadnienia wygłoszonego przez Prezes Izby Cywilnej wskazuję, że: </w:t>
      </w:r>
    </w:p>
    <w:p w14:paraId="64C46CE2" w14:textId="77777777" w:rsidR="002F2C2C" w:rsidRPr="002F2C2C" w:rsidRDefault="002F2C2C" w:rsidP="002F2C2C">
      <w:pPr>
        <w:jc w:val="both"/>
        <w:rPr>
          <w:rFonts w:ascii="Palatino Linotype" w:hAnsi="Palatino Linotype"/>
          <w:sz w:val="22"/>
          <w:szCs w:val="22"/>
        </w:rPr>
      </w:pPr>
    </w:p>
    <w:p w14:paraId="0C523F63" w14:textId="77777777" w:rsidR="00952C79" w:rsidRDefault="00952C79" w:rsidP="002F2C2C">
      <w:pPr>
        <w:jc w:val="both"/>
        <w:rPr>
          <w:rFonts w:ascii="Palatino Linotype" w:hAnsi="Palatino Linotype"/>
          <w:b/>
          <w:bCs/>
          <w:sz w:val="22"/>
          <w:szCs w:val="22"/>
        </w:rPr>
      </w:pPr>
    </w:p>
    <w:p w14:paraId="4A5666AC" w14:textId="77777777" w:rsidR="00952C79" w:rsidRDefault="00952C79" w:rsidP="002F2C2C">
      <w:pPr>
        <w:jc w:val="both"/>
        <w:rPr>
          <w:rFonts w:ascii="Palatino Linotype" w:hAnsi="Palatino Linotype"/>
          <w:b/>
          <w:bCs/>
          <w:sz w:val="22"/>
          <w:szCs w:val="22"/>
        </w:rPr>
      </w:pPr>
    </w:p>
    <w:p w14:paraId="6FADA6AE" w14:textId="77777777" w:rsidR="00952C79" w:rsidRDefault="00952C79" w:rsidP="002F2C2C">
      <w:pPr>
        <w:jc w:val="both"/>
        <w:rPr>
          <w:rFonts w:ascii="Palatino Linotype" w:hAnsi="Palatino Linotype"/>
          <w:b/>
          <w:bCs/>
          <w:sz w:val="22"/>
          <w:szCs w:val="22"/>
        </w:rPr>
      </w:pPr>
    </w:p>
    <w:p w14:paraId="5E920B77" w14:textId="77777777" w:rsidR="002F2C2C" w:rsidRPr="00A6668F" w:rsidRDefault="002F2C2C" w:rsidP="002F2C2C">
      <w:pPr>
        <w:jc w:val="both"/>
        <w:rPr>
          <w:rFonts w:ascii="Palatino Linotype" w:hAnsi="Palatino Linotype"/>
          <w:b/>
          <w:bCs/>
          <w:sz w:val="22"/>
          <w:szCs w:val="22"/>
        </w:rPr>
      </w:pPr>
      <w:r w:rsidRPr="00A6668F">
        <w:rPr>
          <w:rFonts w:ascii="Palatino Linotype" w:hAnsi="Palatino Linotype"/>
          <w:b/>
          <w:bCs/>
          <w:sz w:val="22"/>
          <w:szCs w:val="22"/>
        </w:rPr>
        <w:lastRenderedPageBreak/>
        <w:t>Pytanie 1:</w:t>
      </w:r>
    </w:p>
    <w:p w14:paraId="23CECD9E" w14:textId="77777777" w:rsidR="002F2C2C" w:rsidRPr="002F2C2C" w:rsidRDefault="002F2C2C" w:rsidP="002F2C2C">
      <w:pPr>
        <w:jc w:val="both"/>
        <w:rPr>
          <w:rFonts w:ascii="Palatino Linotype" w:hAnsi="Palatino Linotype"/>
          <w:sz w:val="22"/>
          <w:szCs w:val="22"/>
        </w:rPr>
      </w:pPr>
    </w:p>
    <w:p w14:paraId="4FB2E3C4" w14:textId="73E04503" w:rsidR="002F2C2C" w:rsidRPr="002F2C2C" w:rsidRDefault="002F2C2C" w:rsidP="002F2C2C">
      <w:pPr>
        <w:jc w:val="both"/>
        <w:rPr>
          <w:rFonts w:ascii="Palatino Linotype" w:hAnsi="Palatino Linotype"/>
          <w:sz w:val="22"/>
          <w:szCs w:val="22"/>
        </w:rPr>
      </w:pPr>
      <w:r w:rsidRPr="002F2C2C">
        <w:rPr>
          <w:rFonts w:ascii="Palatino Linotype" w:hAnsi="Palatino Linotype"/>
          <w:sz w:val="22"/>
          <w:szCs w:val="22"/>
        </w:rPr>
        <w:t>Pierwsze pytanie o treści „</w:t>
      </w:r>
      <w:r w:rsidRPr="00736B2E">
        <w:rPr>
          <w:rFonts w:ascii="Palatino Linotype" w:hAnsi="Palatino Linotype"/>
          <w:i/>
          <w:iCs/>
          <w:sz w:val="22"/>
          <w:szCs w:val="22"/>
        </w:rPr>
        <w:t>Czy w razie uznania, że postanowienie umowy kredytu indeksowanego lub denominowanego odnoszące się do sposobu określania kursu waluty obcej stanowi niedozwolone postanowienie umowne i nie wiąże konsumenta, możliwe jest przyjęcie, że miejsce tego postanowienia zajmuje inny sposób określenia kursu waluty obcej wynikający z przepisów prawa lub zwyczajów?</w:t>
      </w:r>
      <w:r w:rsidRPr="002F2C2C">
        <w:rPr>
          <w:rFonts w:ascii="Palatino Linotype" w:hAnsi="Palatino Linotype"/>
          <w:sz w:val="22"/>
          <w:szCs w:val="22"/>
        </w:rPr>
        <w:t xml:space="preserve">” </w:t>
      </w:r>
      <w:r w:rsidR="00952C79">
        <w:rPr>
          <w:rFonts w:ascii="Palatino Linotype" w:hAnsi="Palatino Linotype"/>
          <w:sz w:val="22"/>
          <w:szCs w:val="22"/>
        </w:rPr>
        <w:br/>
      </w:r>
      <w:r w:rsidR="00736B2E">
        <w:rPr>
          <w:rFonts w:ascii="Palatino Linotype" w:hAnsi="Palatino Linotype"/>
          <w:sz w:val="22"/>
          <w:szCs w:val="22"/>
        </w:rPr>
        <w:t xml:space="preserve">w praktyce </w:t>
      </w:r>
      <w:r w:rsidRPr="002F2C2C">
        <w:rPr>
          <w:rFonts w:ascii="Palatino Linotype" w:hAnsi="Palatino Linotype"/>
          <w:sz w:val="22"/>
          <w:szCs w:val="22"/>
        </w:rPr>
        <w:t>sprowadza</w:t>
      </w:r>
      <w:r w:rsidR="00736B2E">
        <w:rPr>
          <w:rFonts w:ascii="Palatino Linotype" w:hAnsi="Palatino Linotype"/>
          <w:sz w:val="22"/>
          <w:szCs w:val="22"/>
        </w:rPr>
        <w:t>ło</w:t>
      </w:r>
      <w:r w:rsidRPr="002F2C2C">
        <w:rPr>
          <w:rFonts w:ascii="Palatino Linotype" w:hAnsi="Palatino Linotype"/>
          <w:sz w:val="22"/>
          <w:szCs w:val="22"/>
        </w:rPr>
        <w:t xml:space="preserve"> się do ustalenia, czy w umowach kredytów frankowy</w:t>
      </w:r>
      <w:r w:rsidR="00736B2E">
        <w:rPr>
          <w:rFonts w:ascii="Palatino Linotype" w:hAnsi="Palatino Linotype"/>
          <w:sz w:val="22"/>
          <w:szCs w:val="22"/>
        </w:rPr>
        <w:t>ch</w:t>
      </w:r>
      <w:r w:rsidRPr="002F2C2C">
        <w:rPr>
          <w:rFonts w:ascii="Palatino Linotype" w:hAnsi="Palatino Linotype"/>
          <w:sz w:val="22"/>
          <w:szCs w:val="22"/>
        </w:rPr>
        <w:t xml:space="preserve"> w miejsce niedozwolonych postanowień umownych dotyczących jednostronnego ustalania przez banki możliwe jest wstawienie </w:t>
      </w:r>
      <w:r w:rsidR="00C764AA">
        <w:rPr>
          <w:rFonts w:ascii="Palatino Linotype" w:hAnsi="Palatino Linotype"/>
          <w:sz w:val="22"/>
          <w:szCs w:val="22"/>
        </w:rPr>
        <w:t xml:space="preserve">postanowień </w:t>
      </w:r>
      <w:r w:rsidRPr="002F2C2C">
        <w:rPr>
          <w:rFonts w:ascii="Palatino Linotype" w:hAnsi="Palatino Linotype"/>
          <w:sz w:val="22"/>
          <w:szCs w:val="22"/>
        </w:rPr>
        <w:t>o zastosowaniu kursu średniego NBP</w:t>
      </w:r>
      <w:r w:rsidR="00736B2E">
        <w:rPr>
          <w:rFonts w:ascii="Palatino Linotype" w:hAnsi="Palatino Linotype"/>
          <w:sz w:val="22"/>
          <w:szCs w:val="22"/>
        </w:rPr>
        <w:t xml:space="preserve">. </w:t>
      </w:r>
      <w:r w:rsidR="00D24FE6">
        <w:rPr>
          <w:rFonts w:ascii="Palatino Linotype" w:hAnsi="Palatino Linotype"/>
          <w:sz w:val="22"/>
          <w:szCs w:val="22"/>
        </w:rPr>
        <w:t xml:space="preserve">Sąd Najwyższy wskazał, że zasada walutowości opisana w art. 358 </w:t>
      </w:r>
      <w:r w:rsidR="00A6668F">
        <w:rPr>
          <w:rFonts w:ascii="Palatino Linotype" w:hAnsi="Palatino Linotype"/>
          <w:sz w:val="22"/>
          <w:szCs w:val="22"/>
        </w:rPr>
        <w:t xml:space="preserve">k.c. nie może mieć zastosowania, ponieważ dotyczy zobowiązań wyrażonych w walucie obcej, a kredyty frankowe takowymi nie są. </w:t>
      </w:r>
      <w:r w:rsidRPr="002F2C2C">
        <w:rPr>
          <w:rFonts w:ascii="Palatino Linotype" w:hAnsi="Palatino Linotype"/>
          <w:sz w:val="22"/>
          <w:szCs w:val="22"/>
        </w:rPr>
        <w:t>Przy takiej konstrukcji trudno także mówić o realizacji efektu mrożącego, o którym wielokrotnie w swoich orzeczeniach mówił TSUE</w:t>
      </w:r>
      <w:r w:rsidR="00A6668F">
        <w:rPr>
          <w:rFonts w:ascii="Palatino Linotype" w:hAnsi="Palatino Linotype"/>
          <w:sz w:val="22"/>
          <w:szCs w:val="22"/>
        </w:rPr>
        <w:t xml:space="preserve"> i byłoby to całkowicie sprzeczne z Dyrektywą 93/13. </w:t>
      </w:r>
    </w:p>
    <w:p w14:paraId="1CD8A6FA" w14:textId="77777777" w:rsidR="002F2C2C" w:rsidRPr="002F2C2C" w:rsidRDefault="002F2C2C" w:rsidP="002F2C2C">
      <w:pPr>
        <w:jc w:val="both"/>
        <w:rPr>
          <w:rFonts w:ascii="Palatino Linotype" w:hAnsi="Palatino Linotype"/>
          <w:sz w:val="22"/>
          <w:szCs w:val="22"/>
        </w:rPr>
      </w:pPr>
    </w:p>
    <w:p w14:paraId="3E8A9751" w14:textId="63E96722" w:rsidR="002F2C2C" w:rsidRPr="00A6668F" w:rsidRDefault="002F2C2C" w:rsidP="002F2C2C">
      <w:pPr>
        <w:jc w:val="both"/>
        <w:rPr>
          <w:rFonts w:ascii="Palatino Linotype" w:hAnsi="Palatino Linotype"/>
          <w:b/>
          <w:bCs/>
          <w:sz w:val="22"/>
          <w:szCs w:val="22"/>
        </w:rPr>
      </w:pPr>
      <w:r w:rsidRPr="00A6668F">
        <w:rPr>
          <w:rFonts w:ascii="Palatino Linotype" w:hAnsi="Palatino Linotype"/>
          <w:b/>
          <w:bCs/>
          <w:sz w:val="22"/>
          <w:szCs w:val="22"/>
        </w:rPr>
        <w:t>Pytanie 2</w:t>
      </w:r>
      <w:r w:rsidR="00A6668F">
        <w:rPr>
          <w:rFonts w:ascii="Palatino Linotype" w:hAnsi="Palatino Linotype"/>
          <w:b/>
          <w:bCs/>
          <w:sz w:val="22"/>
          <w:szCs w:val="22"/>
        </w:rPr>
        <w:t xml:space="preserve"> i 3</w:t>
      </w:r>
      <w:r w:rsidRPr="00A6668F">
        <w:rPr>
          <w:rFonts w:ascii="Palatino Linotype" w:hAnsi="Palatino Linotype"/>
          <w:b/>
          <w:bCs/>
          <w:sz w:val="22"/>
          <w:szCs w:val="22"/>
        </w:rPr>
        <w:t>:</w:t>
      </w:r>
    </w:p>
    <w:p w14:paraId="65DBD7BD" w14:textId="77777777" w:rsidR="002F2C2C" w:rsidRPr="008B52F0" w:rsidRDefault="002F2C2C" w:rsidP="002F2C2C">
      <w:pPr>
        <w:jc w:val="both"/>
        <w:rPr>
          <w:rFonts w:ascii="Palatino Linotype" w:hAnsi="Palatino Linotype"/>
          <w:i/>
          <w:iCs/>
          <w:sz w:val="22"/>
          <w:szCs w:val="22"/>
        </w:rPr>
      </w:pPr>
    </w:p>
    <w:p w14:paraId="4036252A" w14:textId="43225687" w:rsidR="00A6668F" w:rsidRDefault="002F2C2C" w:rsidP="002F2C2C">
      <w:pPr>
        <w:jc w:val="both"/>
        <w:rPr>
          <w:rFonts w:ascii="Palatino Linotype" w:hAnsi="Palatino Linotype"/>
          <w:sz w:val="22"/>
          <w:szCs w:val="22"/>
        </w:rPr>
      </w:pPr>
      <w:r w:rsidRPr="002F2C2C">
        <w:rPr>
          <w:rFonts w:ascii="Palatino Linotype" w:hAnsi="Palatino Linotype"/>
          <w:sz w:val="22"/>
          <w:szCs w:val="22"/>
        </w:rPr>
        <w:t>Z kolei odpowied</w:t>
      </w:r>
      <w:r w:rsidR="00A6668F">
        <w:rPr>
          <w:rFonts w:ascii="Palatino Linotype" w:hAnsi="Palatino Linotype"/>
          <w:sz w:val="22"/>
          <w:szCs w:val="22"/>
        </w:rPr>
        <w:t xml:space="preserve">zi </w:t>
      </w:r>
      <w:r w:rsidRPr="002F2C2C">
        <w:rPr>
          <w:rFonts w:ascii="Palatino Linotype" w:hAnsi="Palatino Linotype"/>
          <w:sz w:val="22"/>
          <w:szCs w:val="22"/>
        </w:rPr>
        <w:t>na pytanie drugie: „</w:t>
      </w:r>
      <w:r w:rsidRPr="00A6668F">
        <w:rPr>
          <w:rFonts w:ascii="Palatino Linotype" w:hAnsi="Palatino Linotype"/>
          <w:i/>
          <w:iCs/>
          <w:sz w:val="22"/>
          <w:szCs w:val="22"/>
        </w:rPr>
        <w:t>Czy w razie niemożliwości ustalenia wiążącego strony kursu waluty obcej w umowie kredytu indeksowanego do takiej waluty umowa może wiązać strony w pozostałym zakresie?</w:t>
      </w:r>
      <w:r w:rsidRPr="002F2C2C">
        <w:rPr>
          <w:rFonts w:ascii="Palatino Linotype" w:hAnsi="Palatino Linotype"/>
          <w:sz w:val="22"/>
          <w:szCs w:val="22"/>
        </w:rPr>
        <w:t xml:space="preserve">” </w:t>
      </w:r>
      <w:r w:rsidR="00A6668F">
        <w:rPr>
          <w:rFonts w:ascii="Palatino Linotype" w:hAnsi="Palatino Linotype"/>
          <w:sz w:val="22"/>
          <w:szCs w:val="22"/>
        </w:rPr>
        <w:t xml:space="preserve">oraz trzecie </w:t>
      </w:r>
      <w:r w:rsidR="00A6668F" w:rsidRPr="002F2C2C">
        <w:rPr>
          <w:rFonts w:ascii="Palatino Linotype" w:hAnsi="Palatino Linotype"/>
          <w:sz w:val="22"/>
          <w:szCs w:val="22"/>
        </w:rPr>
        <w:t>„</w:t>
      </w:r>
      <w:r w:rsidR="00A6668F" w:rsidRPr="00A6668F">
        <w:rPr>
          <w:rFonts w:ascii="Palatino Linotype" w:hAnsi="Palatino Linotype"/>
          <w:i/>
          <w:iCs/>
          <w:sz w:val="22"/>
          <w:szCs w:val="22"/>
        </w:rPr>
        <w:t>Czy w razie niemożliwości ustalenia wiążącego strony kursu waluty obcej w umowie kredytu denominowanego w walucie obcej umowa ta może wiązać strony w pozostałym zakresie?</w:t>
      </w:r>
      <w:r w:rsidR="00A6668F" w:rsidRPr="002F2C2C">
        <w:rPr>
          <w:rFonts w:ascii="Palatino Linotype" w:hAnsi="Palatino Linotype"/>
          <w:sz w:val="22"/>
          <w:szCs w:val="22"/>
        </w:rPr>
        <w:t>”</w:t>
      </w:r>
      <w:r w:rsidR="00A6668F">
        <w:rPr>
          <w:rFonts w:ascii="Palatino Linotype" w:hAnsi="Palatino Linotype"/>
          <w:sz w:val="22"/>
          <w:szCs w:val="22"/>
        </w:rPr>
        <w:t xml:space="preserve"> </w:t>
      </w:r>
      <w:r w:rsidRPr="002F2C2C">
        <w:rPr>
          <w:rFonts w:ascii="Palatino Linotype" w:hAnsi="Palatino Linotype"/>
          <w:sz w:val="22"/>
          <w:szCs w:val="22"/>
        </w:rPr>
        <w:t>sprowadza</w:t>
      </w:r>
      <w:r w:rsidR="00A6668F">
        <w:rPr>
          <w:rFonts w:ascii="Palatino Linotype" w:hAnsi="Palatino Linotype"/>
          <w:sz w:val="22"/>
          <w:szCs w:val="22"/>
        </w:rPr>
        <w:t xml:space="preserve">ją </w:t>
      </w:r>
      <w:r w:rsidRPr="002F2C2C">
        <w:rPr>
          <w:rFonts w:ascii="Palatino Linotype" w:hAnsi="Palatino Linotype"/>
          <w:sz w:val="22"/>
          <w:szCs w:val="22"/>
        </w:rPr>
        <w:t xml:space="preserve">się do stwierdzenia, czy w sytuacji usunięcia z umowy kredytu frankowego niedozwolonych postanowień umownych </w:t>
      </w:r>
      <w:r w:rsidR="00A6668F">
        <w:rPr>
          <w:rFonts w:ascii="Palatino Linotype" w:hAnsi="Palatino Linotype"/>
          <w:sz w:val="22"/>
          <w:szCs w:val="22"/>
        </w:rPr>
        <w:t xml:space="preserve">(indeksacyjnych czy denominacyjnych) </w:t>
      </w:r>
      <w:r w:rsidRPr="002F2C2C">
        <w:rPr>
          <w:rFonts w:ascii="Palatino Linotype" w:hAnsi="Palatino Linotype"/>
          <w:sz w:val="22"/>
          <w:szCs w:val="22"/>
        </w:rPr>
        <w:t>może</w:t>
      </w:r>
      <w:r w:rsidR="00A6668F">
        <w:rPr>
          <w:rFonts w:ascii="Palatino Linotype" w:hAnsi="Palatino Linotype"/>
          <w:sz w:val="22"/>
          <w:szCs w:val="22"/>
        </w:rPr>
        <w:t xml:space="preserve"> ona </w:t>
      </w:r>
      <w:r w:rsidRPr="002F2C2C">
        <w:rPr>
          <w:rFonts w:ascii="Palatino Linotype" w:hAnsi="Palatino Linotype"/>
          <w:sz w:val="22"/>
          <w:szCs w:val="22"/>
        </w:rPr>
        <w:t xml:space="preserve">obowiązywać w pozostałym kształcie. Takie rozwiązanie jest powszechnie nazywane </w:t>
      </w:r>
      <w:proofErr w:type="spellStart"/>
      <w:r w:rsidRPr="002F2C2C">
        <w:rPr>
          <w:rFonts w:ascii="Palatino Linotype" w:hAnsi="Palatino Linotype"/>
          <w:sz w:val="22"/>
          <w:szCs w:val="22"/>
        </w:rPr>
        <w:t>odfrankowieniem</w:t>
      </w:r>
      <w:proofErr w:type="spellEnd"/>
      <w:r w:rsidR="00A6668F">
        <w:rPr>
          <w:rFonts w:ascii="Palatino Linotype" w:hAnsi="Palatino Linotype"/>
          <w:sz w:val="22"/>
          <w:szCs w:val="22"/>
        </w:rPr>
        <w:t xml:space="preserve"> i jeszcze kilka lat temu było dość powszechne w orzecznictwie sądowym. Sąd Najwyższy stwierdził, że usunięcie klauzul indeksacyjnych prowadzi do istotnej zmiany umowy kredytu, stąd zgodnie z Dyrektywą 93/13 nie jest możliwe jej utrzymanie w mocy i w związku z tym nie może ona wiązać stron</w:t>
      </w:r>
      <w:r w:rsidR="008B52F0">
        <w:rPr>
          <w:rFonts w:ascii="Palatino Linotype" w:hAnsi="Palatino Linotype"/>
          <w:sz w:val="22"/>
          <w:szCs w:val="22"/>
        </w:rPr>
        <w:t xml:space="preserve">. Upada ona </w:t>
      </w:r>
      <w:r w:rsidR="008B52F0" w:rsidRPr="008B52F0">
        <w:rPr>
          <w:rFonts w:ascii="Palatino Linotype" w:hAnsi="Palatino Linotype"/>
          <w:i/>
          <w:iCs/>
          <w:sz w:val="22"/>
          <w:szCs w:val="22"/>
        </w:rPr>
        <w:t xml:space="preserve">ex </w:t>
      </w:r>
      <w:proofErr w:type="spellStart"/>
      <w:r w:rsidR="008B52F0" w:rsidRPr="008B52F0">
        <w:rPr>
          <w:rFonts w:ascii="Palatino Linotype" w:hAnsi="Palatino Linotype"/>
          <w:i/>
          <w:iCs/>
          <w:sz w:val="22"/>
          <w:szCs w:val="22"/>
        </w:rPr>
        <w:t>tunc</w:t>
      </w:r>
      <w:proofErr w:type="spellEnd"/>
      <w:r w:rsidR="008B52F0">
        <w:rPr>
          <w:rFonts w:ascii="Palatino Linotype" w:hAnsi="Palatino Linotype"/>
          <w:sz w:val="22"/>
          <w:szCs w:val="22"/>
        </w:rPr>
        <w:t>, czyli od samego początku i tylko konsument może wyrazić wolę jej utrzymania. Co ciekawe, w przypadku tego pytania zgłoszono najwięcej zdań odrębnych,</w:t>
      </w:r>
      <w:r w:rsidR="001C374C">
        <w:rPr>
          <w:rFonts w:ascii="Palatino Linotype" w:hAnsi="Palatino Linotype"/>
          <w:sz w:val="22"/>
          <w:szCs w:val="22"/>
        </w:rPr>
        <w:t xml:space="preserve"> czyli pytanie drugie wywołało</w:t>
      </w:r>
      <w:r w:rsidR="008B52F0">
        <w:rPr>
          <w:rFonts w:ascii="Palatino Linotype" w:hAnsi="Palatino Linotype"/>
          <w:sz w:val="22"/>
          <w:szCs w:val="22"/>
        </w:rPr>
        <w:t xml:space="preserve"> najwięcej dyskusji. Z kolei w odniesieniu do kredytów denominowanych Sąd Najwyższy wskazał, że po usunięciu postanowień umowa taka nie istnieje, ponieważ kwota kredytu jest w umowie wyrażona w walucie CHF. </w:t>
      </w:r>
    </w:p>
    <w:p w14:paraId="6BC525CD" w14:textId="77777777" w:rsidR="002F2C2C" w:rsidRPr="008B52F0" w:rsidRDefault="002F2C2C" w:rsidP="002F2C2C">
      <w:pPr>
        <w:jc w:val="both"/>
        <w:rPr>
          <w:rFonts w:ascii="Palatino Linotype" w:hAnsi="Palatino Linotype"/>
          <w:b/>
          <w:bCs/>
          <w:sz w:val="22"/>
          <w:szCs w:val="22"/>
        </w:rPr>
      </w:pPr>
    </w:p>
    <w:p w14:paraId="05482C87" w14:textId="77777777" w:rsidR="002F2C2C" w:rsidRPr="008B52F0" w:rsidRDefault="002F2C2C" w:rsidP="002F2C2C">
      <w:pPr>
        <w:jc w:val="both"/>
        <w:rPr>
          <w:rFonts w:ascii="Palatino Linotype" w:hAnsi="Palatino Linotype"/>
          <w:b/>
          <w:bCs/>
          <w:sz w:val="22"/>
          <w:szCs w:val="22"/>
        </w:rPr>
      </w:pPr>
      <w:r w:rsidRPr="008B52F0">
        <w:rPr>
          <w:rFonts w:ascii="Palatino Linotype" w:hAnsi="Palatino Linotype"/>
          <w:b/>
          <w:bCs/>
          <w:sz w:val="22"/>
          <w:szCs w:val="22"/>
        </w:rPr>
        <w:t xml:space="preserve">Pytanie 4: </w:t>
      </w:r>
    </w:p>
    <w:p w14:paraId="3CE0DEAE" w14:textId="77777777" w:rsidR="002F2C2C" w:rsidRPr="002F2C2C" w:rsidRDefault="002F2C2C" w:rsidP="002F2C2C">
      <w:pPr>
        <w:jc w:val="both"/>
        <w:rPr>
          <w:rFonts w:ascii="Palatino Linotype" w:hAnsi="Palatino Linotype"/>
          <w:sz w:val="22"/>
          <w:szCs w:val="22"/>
        </w:rPr>
      </w:pPr>
    </w:p>
    <w:p w14:paraId="2E8E2297" w14:textId="3CB79914" w:rsidR="008B52F0" w:rsidRDefault="002F2C2C" w:rsidP="002F2C2C">
      <w:pPr>
        <w:jc w:val="both"/>
        <w:rPr>
          <w:rFonts w:ascii="Palatino Linotype" w:hAnsi="Palatino Linotype"/>
          <w:sz w:val="22"/>
          <w:szCs w:val="22"/>
        </w:rPr>
      </w:pPr>
      <w:r w:rsidRPr="002F2C2C">
        <w:rPr>
          <w:rFonts w:ascii="Palatino Linotype" w:hAnsi="Palatino Linotype"/>
          <w:sz w:val="22"/>
          <w:szCs w:val="22"/>
        </w:rPr>
        <w:t>Jeżeli chodzi o pytanie numer cztery „</w:t>
      </w:r>
      <w:r w:rsidRPr="008B52F0">
        <w:rPr>
          <w:rFonts w:ascii="Palatino Linotype" w:hAnsi="Palatino Linotype"/>
          <w:i/>
          <w:iCs/>
          <w:sz w:val="22"/>
          <w:szCs w:val="22"/>
        </w:rPr>
        <w:t>Czy w przypadku nieważności lub bezskuteczności umowy kredytowej, w wykonaniu której bank wypłacił kredytobiorcy całość lub część kwoty kredytu, a kredytobiorca dokonywał spłat kredytu, powstają odrębne roszczenia z tytułu nienależnego świadczenia na rzecz każdej ze stron, czy też powstaje jedynie jedno roszczenie, równe różnicy spełnionych świadczeń, na rzecz tej strony, której łączne świadczenie miało wyższą wysokość?</w:t>
      </w:r>
      <w:r w:rsidRPr="002F2C2C">
        <w:rPr>
          <w:rFonts w:ascii="Palatino Linotype" w:hAnsi="Palatino Linotype"/>
          <w:sz w:val="22"/>
          <w:szCs w:val="22"/>
        </w:rPr>
        <w:t>” to odpowiedź na nie jest jasna i wielokrotnie już udzielana przez sam Sąd Najwyższy</w:t>
      </w:r>
      <w:r w:rsidR="008B52F0">
        <w:rPr>
          <w:rFonts w:ascii="Palatino Linotype" w:hAnsi="Palatino Linotype"/>
          <w:sz w:val="22"/>
          <w:szCs w:val="22"/>
        </w:rPr>
        <w:t xml:space="preserve"> szczególnie w 2021 roku, co zresztą stwierdził sam Sąd Najwyższy ogłaszając uchwałę.  Z</w:t>
      </w:r>
      <w:r w:rsidRPr="002F2C2C">
        <w:rPr>
          <w:rFonts w:ascii="Palatino Linotype" w:hAnsi="Palatino Linotype"/>
          <w:sz w:val="22"/>
          <w:szCs w:val="22"/>
        </w:rPr>
        <w:t xml:space="preserve">agadnienie </w:t>
      </w:r>
      <w:r w:rsidR="008B52F0">
        <w:rPr>
          <w:rFonts w:ascii="Palatino Linotype" w:hAnsi="Palatino Linotype"/>
          <w:sz w:val="22"/>
          <w:szCs w:val="22"/>
        </w:rPr>
        <w:t xml:space="preserve">to </w:t>
      </w:r>
      <w:r w:rsidRPr="002F2C2C">
        <w:rPr>
          <w:rFonts w:ascii="Palatino Linotype" w:hAnsi="Palatino Linotype"/>
          <w:sz w:val="22"/>
          <w:szCs w:val="22"/>
        </w:rPr>
        <w:t>sprowadza</w:t>
      </w:r>
      <w:r w:rsidR="008B52F0">
        <w:rPr>
          <w:rFonts w:ascii="Palatino Linotype" w:hAnsi="Palatino Linotype"/>
          <w:sz w:val="22"/>
          <w:szCs w:val="22"/>
        </w:rPr>
        <w:t>ło</w:t>
      </w:r>
      <w:r w:rsidRPr="002F2C2C">
        <w:rPr>
          <w:rFonts w:ascii="Palatino Linotype" w:hAnsi="Palatino Linotype"/>
          <w:sz w:val="22"/>
          <w:szCs w:val="22"/>
        </w:rPr>
        <w:t xml:space="preserve"> się w istocie do ustalenia, czy obowiązującą jest teoria salda czy teoria dwóch </w:t>
      </w:r>
      <w:proofErr w:type="spellStart"/>
      <w:r w:rsidRPr="002F2C2C">
        <w:rPr>
          <w:rFonts w:ascii="Palatino Linotype" w:hAnsi="Palatino Linotype"/>
          <w:sz w:val="22"/>
          <w:szCs w:val="22"/>
        </w:rPr>
        <w:t>kondykcji</w:t>
      </w:r>
      <w:proofErr w:type="spellEnd"/>
      <w:r w:rsidR="008B52F0">
        <w:rPr>
          <w:rFonts w:ascii="Palatino Linotype" w:hAnsi="Palatino Linotype"/>
          <w:sz w:val="22"/>
          <w:szCs w:val="22"/>
        </w:rPr>
        <w:t xml:space="preserve">. Sąd Najwyższy tak jak dotychczas opowiedział się za tą drugą i </w:t>
      </w:r>
      <w:r w:rsidR="008B52F0">
        <w:rPr>
          <w:rFonts w:ascii="Palatino Linotype" w:hAnsi="Palatino Linotype"/>
          <w:sz w:val="22"/>
          <w:szCs w:val="22"/>
        </w:rPr>
        <w:lastRenderedPageBreak/>
        <w:t xml:space="preserve">stwierdził, że każdej ze stron przysługują odrębne roszczenia. Bankowi o zwrot kapitału, a kredytobiorcy o zwrot wszystkich wpłaconych do banku środków. </w:t>
      </w:r>
    </w:p>
    <w:p w14:paraId="32568593" w14:textId="77777777" w:rsidR="002F2C2C" w:rsidRPr="002F2C2C" w:rsidRDefault="002F2C2C" w:rsidP="002F2C2C">
      <w:pPr>
        <w:jc w:val="both"/>
        <w:rPr>
          <w:rFonts w:ascii="Palatino Linotype" w:hAnsi="Palatino Linotype"/>
          <w:sz w:val="22"/>
          <w:szCs w:val="22"/>
        </w:rPr>
      </w:pPr>
    </w:p>
    <w:p w14:paraId="3C4F3829" w14:textId="77777777" w:rsidR="002F2C2C" w:rsidRPr="008B52F0" w:rsidRDefault="002F2C2C" w:rsidP="002F2C2C">
      <w:pPr>
        <w:jc w:val="both"/>
        <w:rPr>
          <w:rFonts w:ascii="Palatino Linotype" w:hAnsi="Palatino Linotype"/>
          <w:b/>
          <w:bCs/>
          <w:sz w:val="22"/>
          <w:szCs w:val="22"/>
        </w:rPr>
      </w:pPr>
      <w:r w:rsidRPr="008B52F0">
        <w:rPr>
          <w:rFonts w:ascii="Palatino Linotype" w:hAnsi="Palatino Linotype"/>
          <w:b/>
          <w:bCs/>
          <w:sz w:val="22"/>
          <w:szCs w:val="22"/>
        </w:rPr>
        <w:t>Pytanie 5:</w:t>
      </w:r>
    </w:p>
    <w:p w14:paraId="462A5BFA" w14:textId="77777777" w:rsidR="002F2C2C" w:rsidRPr="002F2C2C" w:rsidRDefault="002F2C2C" w:rsidP="002F2C2C">
      <w:pPr>
        <w:jc w:val="both"/>
        <w:rPr>
          <w:rFonts w:ascii="Palatino Linotype" w:hAnsi="Palatino Linotype"/>
          <w:sz w:val="22"/>
          <w:szCs w:val="22"/>
        </w:rPr>
      </w:pPr>
    </w:p>
    <w:p w14:paraId="621772EA" w14:textId="158ADD36" w:rsidR="002F2C2C" w:rsidRPr="002F2C2C" w:rsidRDefault="002F2C2C" w:rsidP="002F2C2C">
      <w:pPr>
        <w:jc w:val="both"/>
        <w:rPr>
          <w:rFonts w:ascii="Palatino Linotype" w:hAnsi="Palatino Linotype"/>
          <w:sz w:val="22"/>
          <w:szCs w:val="22"/>
        </w:rPr>
      </w:pPr>
      <w:r w:rsidRPr="002F2C2C">
        <w:rPr>
          <w:rFonts w:ascii="Palatino Linotype" w:hAnsi="Palatino Linotype"/>
          <w:sz w:val="22"/>
          <w:szCs w:val="22"/>
        </w:rPr>
        <w:t>Najciekawsz</w:t>
      </w:r>
      <w:r w:rsidR="00B84EF9">
        <w:rPr>
          <w:rFonts w:ascii="Palatino Linotype" w:hAnsi="Palatino Linotype"/>
          <w:sz w:val="22"/>
          <w:szCs w:val="22"/>
        </w:rPr>
        <w:t xml:space="preserve">a jednak była odpowiedź na </w:t>
      </w:r>
      <w:r w:rsidRPr="002F2C2C">
        <w:rPr>
          <w:rFonts w:ascii="Palatino Linotype" w:hAnsi="Palatino Linotype"/>
          <w:sz w:val="22"/>
          <w:szCs w:val="22"/>
        </w:rPr>
        <w:t>pytanie o treści: „</w:t>
      </w:r>
      <w:r w:rsidRPr="00B84EF9">
        <w:rPr>
          <w:rFonts w:ascii="Palatino Linotype" w:hAnsi="Palatino Linotype"/>
          <w:i/>
          <w:iCs/>
          <w:sz w:val="22"/>
          <w:szCs w:val="22"/>
        </w:rPr>
        <w:t>Czy w przypadku nieważności lub bezskuteczności umowy kredytowej z powodu niedozwolonego charakteru niektórych jej postanowień bieg przedawnienia roszczenia banku o zwrot kwot wypłaconych z tytułu kredytu rozpoczyna się od chwili ich wypłaty?</w:t>
      </w:r>
      <w:r w:rsidRPr="002F2C2C">
        <w:rPr>
          <w:rFonts w:ascii="Palatino Linotype" w:hAnsi="Palatino Linotype"/>
          <w:sz w:val="22"/>
          <w:szCs w:val="22"/>
        </w:rPr>
        <w:t>”. Pytanie sprowadza się do ustalenia, od kiedy należy liczyć termin przedawnienia roszczeń banków o zwrot kapitału</w:t>
      </w:r>
      <w:r w:rsidR="00B84EF9">
        <w:rPr>
          <w:rFonts w:ascii="Palatino Linotype" w:hAnsi="Palatino Linotype"/>
          <w:sz w:val="22"/>
          <w:szCs w:val="22"/>
        </w:rPr>
        <w:t xml:space="preserve">. Sąd Najwyższy przyjął, że 3-lateni termin przedawnienia roszczenia banku o zwrot kapitału rozpoczyna się co do zasady od momentu zakwestionowania przez kredytobiorcę postanowień umownych, np. poprzez reklamację, wezwanie do zapłaty, zawezwanie do próby ugodowej czy w zdecydowanej większości przypadków skierowanie pozwu. </w:t>
      </w:r>
    </w:p>
    <w:p w14:paraId="6E105B27" w14:textId="77777777" w:rsidR="005D169F" w:rsidRDefault="005D169F" w:rsidP="002F2C2C">
      <w:pPr>
        <w:jc w:val="both"/>
        <w:rPr>
          <w:rFonts w:ascii="Palatino Linotype" w:hAnsi="Palatino Linotype"/>
          <w:b/>
          <w:bCs/>
          <w:sz w:val="22"/>
          <w:szCs w:val="22"/>
        </w:rPr>
      </w:pPr>
    </w:p>
    <w:p w14:paraId="7C95BB76" w14:textId="593F5799" w:rsidR="002F2C2C" w:rsidRPr="00B84EF9" w:rsidRDefault="002F2C2C" w:rsidP="002F2C2C">
      <w:pPr>
        <w:jc w:val="both"/>
        <w:rPr>
          <w:rFonts w:ascii="Palatino Linotype" w:hAnsi="Palatino Linotype"/>
          <w:b/>
          <w:bCs/>
          <w:sz w:val="22"/>
          <w:szCs w:val="22"/>
        </w:rPr>
      </w:pPr>
      <w:r w:rsidRPr="00B84EF9">
        <w:rPr>
          <w:rFonts w:ascii="Palatino Linotype" w:hAnsi="Palatino Linotype"/>
          <w:b/>
          <w:bCs/>
          <w:sz w:val="22"/>
          <w:szCs w:val="22"/>
        </w:rPr>
        <w:t>Pytanie 6:</w:t>
      </w:r>
    </w:p>
    <w:p w14:paraId="1745A604" w14:textId="77777777" w:rsidR="002F2C2C" w:rsidRPr="002F2C2C" w:rsidRDefault="002F2C2C" w:rsidP="002F2C2C">
      <w:pPr>
        <w:jc w:val="both"/>
        <w:rPr>
          <w:rFonts w:ascii="Palatino Linotype" w:hAnsi="Palatino Linotype"/>
          <w:sz w:val="22"/>
          <w:szCs w:val="22"/>
        </w:rPr>
      </w:pPr>
    </w:p>
    <w:p w14:paraId="73C9AB49" w14:textId="0765EEAD" w:rsidR="002F2C2C" w:rsidRDefault="002F2C2C" w:rsidP="002F2C2C">
      <w:pPr>
        <w:jc w:val="both"/>
        <w:rPr>
          <w:rFonts w:ascii="Palatino Linotype" w:hAnsi="Palatino Linotype"/>
          <w:sz w:val="22"/>
          <w:szCs w:val="22"/>
        </w:rPr>
      </w:pPr>
      <w:r w:rsidRPr="002F2C2C">
        <w:rPr>
          <w:rFonts w:ascii="Palatino Linotype" w:hAnsi="Palatino Linotype"/>
          <w:sz w:val="22"/>
          <w:szCs w:val="22"/>
        </w:rPr>
        <w:t xml:space="preserve">W pytaniu szóstym Pierwsza Prezes </w:t>
      </w:r>
      <w:r w:rsidR="00B84EF9">
        <w:rPr>
          <w:rFonts w:ascii="Palatino Linotype" w:hAnsi="Palatino Linotype"/>
          <w:sz w:val="22"/>
          <w:szCs w:val="22"/>
        </w:rPr>
        <w:t>za</w:t>
      </w:r>
      <w:r w:rsidRPr="002F2C2C">
        <w:rPr>
          <w:rFonts w:ascii="Palatino Linotype" w:hAnsi="Palatino Linotype"/>
          <w:sz w:val="22"/>
          <w:szCs w:val="22"/>
        </w:rPr>
        <w:t>pyta</w:t>
      </w:r>
      <w:r w:rsidR="00B84EF9">
        <w:rPr>
          <w:rFonts w:ascii="Palatino Linotype" w:hAnsi="Palatino Linotype"/>
          <w:sz w:val="22"/>
          <w:szCs w:val="22"/>
        </w:rPr>
        <w:t xml:space="preserve">ła </w:t>
      </w:r>
      <w:r w:rsidRPr="002F2C2C">
        <w:rPr>
          <w:rFonts w:ascii="Palatino Linotype" w:hAnsi="Palatino Linotype"/>
          <w:sz w:val="22"/>
          <w:szCs w:val="22"/>
        </w:rPr>
        <w:t>„</w:t>
      </w:r>
      <w:r w:rsidRPr="00B84EF9">
        <w:rPr>
          <w:rFonts w:ascii="Palatino Linotype" w:hAnsi="Palatino Linotype"/>
          <w:i/>
          <w:iCs/>
          <w:sz w:val="22"/>
          <w:szCs w:val="22"/>
        </w:rPr>
        <w:t>Czy, jeżeli w przypadku nieważności lub bezskuteczności umowy kredytowej którejkolwiek ze stron przysługuje roszczenie o zwrot świadczenia spełnionego w wykonaniu takiej umowy, strona ta może również żądać wynagrodzenia z tytułu korzystania z jej środków pieniężnych przez drugą stronę?</w:t>
      </w:r>
      <w:r w:rsidRPr="002F2C2C">
        <w:rPr>
          <w:rFonts w:ascii="Palatino Linotype" w:hAnsi="Palatino Linotype"/>
          <w:sz w:val="22"/>
          <w:szCs w:val="22"/>
        </w:rPr>
        <w:t>”</w:t>
      </w:r>
      <w:r w:rsidR="00B84EF9">
        <w:rPr>
          <w:rFonts w:ascii="Palatino Linotype" w:hAnsi="Palatino Linotype"/>
          <w:sz w:val="22"/>
          <w:szCs w:val="22"/>
        </w:rPr>
        <w:t xml:space="preserve">, a Sąd Najwyższy odpowiedział, że nie. Jego zdaniem brak jest podstaw prawnych do konstruowania tego rodzaju roszczeń. Wynagrodzeniem są odsetki, a inaczej nazwane roszczenie, czyli właśnie wynagrodzenie z korzystanie z kapitału, w istocie pełniłoby tę funkcję. Wskazał także, że nieważna umowa nie może korzystać z ochrony przysługującej umowie niewadliwej, zaś podnoszone przez sektor bankowy argumenty </w:t>
      </w:r>
      <w:proofErr w:type="spellStart"/>
      <w:r w:rsidR="00B84EF9">
        <w:rPr>
          <w:rFonts w:ascii="Palatino Linotype" w:hAnsi="Palatino Linotype"/>
          <w:sz w:val="22"/>
          <w:szCs w:val="22"/>
        </w:rPr>
        <w:t>słusznościowe</w:t>
      </w:r>
      <w:proofErr w:type="spellEnd"/>
      <w:r w:rsidR="00B84EF9">
        <w:rPr>
          <w:rFonts w:ascii="Palatino Linotype" w:hAnsi="Palatino Linotype"/>
          <w:sz w:val="22"/>
          <w:szCs w:val="22"/>
        </w:rPr>
        <w:t xml:space="preserve"> nie mają żadnego znaczenia. Stanowisko Sądu Najwyższego nie zaskakuje, </w:t>
      </w:r>
      <w:r w:rsidRPr="002F2C2C">
        <w:rPr>
          <w:rFonts w:ascii="Palatino Linotype" w:hAnsi="Palatino Linotype"/>
          <w:sz w:val="22"/>
          <w:szCs w:val="22"/>
        </w:rPr>
        <w:t xml:space="preserve">szczególnie w kontekście tego, co działo się przez cały 2023 rok i początek 2024 roku, kiedy to TSUE trzykrotnie wypowiedział się na ten temat. 15 czerwca 2023 roku TSUE w sprawie o sygn. akt C-520/21 w sposób jednoznaczny zakwestionował możliwość skutecznego domagania się przez bank od </w:t>
      </w:r>
      <w:proofErr w:type="spellStart"/>
      <w:r w:rsidRPr="002F2C2C">
        <w:rPr>
          <w:rFonts w:ascii="Palatino Linotype" w:hAnsi="Palatino Linotype"/>
          <w:sz w:val="22"/>
          <w:szCs w:val="22"/>
        </w:rPr>
        <w:t>Frankowicza</w:t>
      </w:r>
      <w:proofErr w:type="spellEnd"/>
      <w:r w:rsidRPr="002F2C2C">
        <w:rPr>
          <w:rFonts w:ascii="Palatino Linotype" w:hAnsi="Palatino Linotype"/>
          <w:sz w:val="22"/>
          <w:szCs w:val="22"/>
        </w:rPr>
        <w:t xml:space="preserve"> tzw. wynagrodzenia za korzystanie z kapitału. Analogiczne stanowisko zajął w postanowieniu z 11 grudnia 2023 roku, sygn. akt C-756/23, kiedy to uznał, że także roszczenie banków o dokonanie sądowej waloryzacji jest nieuzasadnione. Postanowieniem z 12 stycznia 2024 roku w sprawie o sygn. akt C</w:t>
      </w:r>
      <w:r w:rsidRPr="002F2C2C">
        <w:rPr>
          <w:rFonts w:ascii="Palatino Linotype" w:hAnsi="Palatino Linotype" w:cs="Cambria Math"/>
          <w:sz w:val="22"/>
          <w:szCs w:val="22"/>
        </w:rPr>
        <w:t>‑</w:t>
      </w:r>
      <w:r w:rsidRPr="002F2C2C">
        <w:rPr>
          <w:rFonts w:ascii="Palatino Linotype" w:hAnsi="Palatino Linotype"/>
          <w:sz w:val="22"/>
          <w:szCs w:val="22"/>
        </w:rPr>
        <w:t>488/23 TSUE ostatecznie przesądził o niedopuszczalności waloryzacji roszczeń przedsiębiorcy dochodzonych z tytułu nieważnej umowy kredytu zawierającej niedozwolone postanowienia umowne.</w:t>
      </w:r>
    </w:p>
    <w:p w14:paraId="565457AD" w14:textId="77777777" w:rsidR="005D169F" w:rsidRPr="002F2C2C" w:rsidRDefault="005D169F" w:rsidP="002F2C2C">
      <w:pPr>
        <w:jc w:val="both"/>
        <w:rPr>
          <w:rFonts w:ascii="Palatino Linotype" w:hAnsi="Palatino Linotype"/>
          <w:sz w:val="22"/>
          <w:szCs w:val="22"/>
        </w:rPr>
      </w:pPr>
    </w:p>
    <w:p w14:paraId="1ABD0157" w14:textId="77777777" w:rsidR="002F2C2C" w:rsidRPr="00736B2E" w:rsidRDefault="002F2C2C" w:rsidP="002F2C2C">
      <w:pPr>
        <w:jc w:val="both"/>
        <w:rPr>
          <w:rFonts w:ascii="Palatino Linotype" w:hAnsi="Palatino Linotype"/>
          <w:b/>
          <w:bCs/>
          <w:sz w:val="22"/>
          <w:szCs w:val="22"/>
        </w:rPr>
      </w:pPr>
    </w:p>
    <w:p w14:paraId="5FE916C8" w14:textId="19C06CC8" w:rsidR="002F2C2C" w:rsidRPr="00736B2E" w:rsidRDefault="002F2C2C" w:rsidP="002F2C2C">
      <w:pPr>
        <w:jc w:val="both"/>
        <w:rPr>
          <w:rFonts w:ascii="Palatino Linotype" w:hAnsi="Palatino Linotype"/>
          <w:b/>
          <w:bCs/>
          <w:sz w:val="22"/>
          <w:szCs w:val="22"/>
        </w:rPr>
      </w:pPr>
      <w:r w:rsidRPr="00736B2E">
        <w:rPr>
          <w:rFonts w:ascii="Palatino Linotype" w:hAnsi="Palatino Linotype"/>
          <w:b/>
          <w:bCs/>
          <w:sz w:val="22"/>
          <w:szCs w:val="22"/>
        </w:rPr>
        <w:t xml:space="preserve">Czy „Uchwała frankowa” </w:t>
      </w:r>
      <w:r w:rsidR="00736B2E" w:rsidRPr="00736B2E">
        <w:rPr>
          <w:rFonts w:ascii="Palatino Linotype" w:hAnsi="Palatino Linotype"/>
          <w:b/>
          <w:bCs/>
          <w:sz w:val="22"/>
          <w:szCs w:val="22"/>
        </w:rPr>
        <w:t xml:space="preserve">była </w:t>
      </w:r>
      <w:r w:rsidRPr="00736B2E">
        <w:rPr>
          <w:rFonts w:ascii="Palatino Linotype" w:hAnsi="Palatino Linotype"/>
          <w:b/>
          <w:bCs/>
          <w:sz w:val="22"/>
          <w:szCs w:val="22"/>
        </w:rPr>
        <w:t>potrzeb</w:t>
      </w:r>
      <w:r w:rsidR="00736B2E" w:rsidRPr="00736B2E">
        <w:rPr>
          <w:rFonts w:ascii="Palatino Linotype" w:hAnsi="Palatino Linotype"/>
          <w:b/>
          <w:bCs/>
          <w:sz w:val="22"/>
          <w:szCs w:val="22"/>
        </w:rPr>
        <w:t>n</w:t>
      </w:r>
      <w:r w:rsidRPr="00736B2E">
        <w:rPr>
          <w:rFonts w:ascii="Palatino Linotype" w:hAnsi="Palatino Linotype"/>
          <w:b/>
          <w:bCs/>
          <w:sz w:val="22"/>
          <w:szCs w:val="22"/>
        </w:rPr>
        <w:t>a?</w:t>
      </w:r>
    </w:p>
    <w:p w14:paraId="0C1BEEFF" w14:textId="77777777" w:rsidR="002F2C2C" w:rsidRPr="002F2C2C" w:rsidRDefault="002F2C2C" w:rsidP="002F2C2C">
      <w:pPr>
        <w:jc w:val="both"/>
        <w:rPr>
          <w:rFonts w:ascii="Palatino Linotype" w:hAnsi="Palatino Linotype"/>
          <w:sz w:val="22"/>
          <w:szCs w:val="22"/>
        </w:rPr>
      </w:pPr>
    </w:p>
    <w:p w14:paraId="3C4C5D17" w14:textId="5D0E417C" w:rsidR="002F2C2C" w:rsidRPr="002F2C2C" w:rsidRDefault="002F2C2C" w:rsidP="002F2C2C">
      <w:pPr>
        <w:jc w:val="both"/>
        <w:rPr>
          <w:rFonts w:ascii="Palatino Linotype" w:hAnsi="Palatino Linotype"/>
          <w:sz w:val="22"/>
          <w:szCs w:val="22"/>
        </w:rPr>
      </w:pPr>
      <w:r w:rsidRPr="002F2C2C">
        <w:rPr>
          <w:rFonts w:ascii="Palatino Linotype" w:hAnsi="Palatino Linotype"/>
          <w:sz w:val="22"/>
          <w:szCs w:val="22"/>
        </w:rPr>
        <w:t xml:space="preserve">Od skierowania wniosku przez Pierwszą Prezes </w:t>
      </w:r>
      <w:r w:rsidR="00736B2E">
        <w:rPr>
          <w:rFonts w:ascii="Palatino Linotype" w:hAnsi="Palatino Linotype"/>
          <w:sz w:val="22"/>
          <w:szCs w:val="22"/>
        </w:rPr>
        <w:t xml:space="preserve">do momentu wydania uchwały minęło ponad 3 </w:t>
      </w:r>
      <w:r w:rsidRPr="002F2C2C">
        <w:rPr>
          <w:rFonts w:ascii="Palatino Linotype" w:hAnsi="Palatino Linotype"/>
          <w:sz w:val="22"/>
          <w:szCs w:val="22"/>
        </w:rPr>
        <w:t xml:space="preserve">lata. 3 lata to czas, w którym w polskich sądach wiele zmieniło się na korzyść kredytobiorców frankowych. To czas, kiedy wielokrotnie mogliśmy usłyszeć orzeczenia TSUE w polskich sprawach, a które to orzeczenia zdecydowanie przybliżyły nam horyzont na definitywne zakończenie tego sporu. Przede wszystkim mowa tu o wyrokach TSUE z 29 kwietnia 2021 roku (C-19/20), z 8 września 2022 roku (C-80/21, C-81/21 i C-82/21) czy </w:t>
      </w:r>
      <w:r w:rsidRPr="002F2C2C">
        <w:rPr>
          <w:rFonts w:ascii="Palatino Linotype" w:hAnsi="Palatino Linotype"/>
          <w:sz w:val="22"/>
          <w:szCs w:val="22"/>
        </w:rPr>
        <w:lastRenderedPageBreak/>
        <w:t xml:space="preserve">wreszcie wspomnianych już wyżej orzeczeniach z 2023 roku. Dlatego też uchwała </w:t>
      </w:r>
      <w:r w:rsidR="00736B2E">
        <w:rPr>
          <w:rFonts w:ascii="Palatino Linotype" w:hAnsi="Palatino Linotype"/>
          <w:sz w:val="22"/>
          <w:szCs w:val="22"/>
        </w:rPr>
        <w:t xml:space="preserve">Sądu Najwyższego wpisująca się w tę linię zdecydowanie przybliża nas do </w:t>
      </w:r>
      <w:r w:rsidRPr="002F2C2C">
        <w:rPr>
          <w:rFonts w:ascii="Palatino Linotype" w:hAnsi="Palatino Linotype"/>
          <w:sz w:val="22"/>
          <w:szCs w:val="22"/>
        </w:rPr>
        <w:t>ostatecznego zamknięcia sporu frankowego w Polsce</w:t>
      </w:r>
      <w:r w:rsidR="00736B2E">
        <w:rPr>
          <w:rFonts w:ascii="Palatino Linotype" w:hAnsi="Palatino Linotype"/>
          <w:sz w:val="22"/>
          <w:szCs w:val="22"/>
        </w:rPr>
        <w:t xml:space="preserve">, który przy założeniu jego zakończenia w 2030 roku, będzie trwał 20 lat (pierwsze wyroki </w:t>
      </w:r>
      <w:proofErr w:type="spellStart"/>
      <w:r w:rsidR="00736B2E">
        <w:rPr>
          <w:rFonts w:ascii="Palatino Linotype" w:hAnsi="Palatino Linotype"/>
          <w:sz w:val="22"/>
          <w:szCs w:val="22"/>
        </w:rPr>
        <w:t>SOKiK</w:t>
      </w:r>
      <w:proofErr w:type="spellEnd"/>
      <w:r w:rsidR="00736B2E">
        <w:rPr>
          <w:rFonts w:ascii="Palatino Linotype" w:hAnsi="Palatino Linotype"/>
          <w:sz w:val="22"/>
          <w:szCs w:val="22"/>
        </w:rPr>
        <w:t xml:space="preserve"> zostały wydane w latach 2010 – 2011)</w:t>
      </w:r>
      <w:r w:rsidR="00567C38">
        <w:rPr>
          <w:rFonts w:ascii="Palatino Linotype" w:hAnsi="Palatino Linotype"/>
          <w:sz w:val="22"/>
          <w:szCs w:val="22"/>
        </w:rPr>
        <w:t>, szczególnie, że</w:t>
      </w:r>
      <w:r w:rsidR="00736B2E">
        <w:rPr>
          <w:rFonts w:ascii="Palatino Linotype" w:hAnsi="Palatino Linotype"/>
          <w:sz w:val="22"/>
          <w:szCs w:val="22"/>
        </w:rPr>
        <w:t xml:space="preserve"> na sądowym horyzoncie widać kolejne ogromne wyzwania w postaci sankcji kredytu darmowego czy kredytobiorców złotowych tak bardzo dotkniętych wzrostem rat. </w:t>
      </w:r>
    </w:p>
    <w:p w14:paraId="589C089B" w14:textId="77777777" w:rsidR="002F2C2C" w:rsidRDefault="002F2C2C" w:rsidP="002F2C2C">
      <w:pPr>
        <w:jc w:val="both"/>
        <w:rPr>
          <w:rFonts w:ascii="Palatino Linotype" w:hAnsi="Palatino Linotype"/>
          <w:sz w:val="22"/>
          <w:szCs w:val="22"/>
        </w:rPr>
      </w:pPr>
    </w:p>
    <w:p w14:paraId="1B41705B" w14:textId="77777777" w:rsidR="005D169F" w:rsidRDefault="005D169F" w:rsidP="002F2C2C">
      <w:pPr>
        <w:jc w:val="both"/>
        <w:rPr>
          <w:rFonts w:ascii="Palatino Linotype" w:hAnsi="Palatino Linotype"/>
          <w:sz w:val="22"/>
          <w:szCs w:val="22"/>
        </w:rPr>
      </w:pPr>
    </w:p>
    <w:p w14:paraId="3A6B0CA1" w14:textId="37D06098" w:rsidR="00736B2E" w:rsidRDefault="00736B2E" w:rsidP="002F2C2C">
      <w:pPr>
        <w:jc w:val="both"/>
        <w:rPr>
          <w:rFonts w:ascii="Palatino Linotype" w:hAnsi="Palatino Linotype"/>
          <w:b/>
          <w:bCs/>
          <w:sz w:val="22"/>
          <w:szCs w:val="22"/>
        </w:rPr>
      </w:pPr>
      <w:bookmarkStart w:id="0" w:name="_GoBack"/>
      <w:bookmarkEnd w:id="0"/>
      <w:r w:rsidRPr="002F2C2C">
        <w:rPr>
          <w:rFonts w:ascii="Palatino Linotype" w:hAnsi="Palatino Linotype"/>
          <w:b/>
          <w:bCs/>
          <w:sz w:val="22"/>
          <w:szCs w:val="22"/>
        </w:rPr>
        <w:t xml:space="preserve">Jakie możliwości i prawa mają </w:t>
      </w:r>
      <w:proofErr w:type="spellStart"/>
      <w:r w:rsidRPr="002F2C2C">
        <w:rPr>
          <w:rFonts w:ascii="Palatino Linotype" w:hAnsi="Palatino Linotype"/>
          <w:b/>
          <w:bCs/>
          <w:sz w:val="22"/>
          <w:szCs w:val="22"/>
        </w:rPr>
        <w:t>Frankowicze</w:t>
      </w:r>
      <w:proofErr w:type="spellEnd"/>
      <w:r w:rsidRPr="002F2C2C">
        <w:rPr>
          <w:rFonts w:ascii="Palatino Linotype" w:hAnsi="Palatino Linotype"/>
          <w:b/>
          <w:bCs/>
          <w:sz w:val="22"/>
          <w:szCs w:val="22"/>
        </w:rPr>
        <w:t xml:space="preserve"> w świetle nowej uchwały?</w:t>
      </w:r>
    </w:p>
    <w:p w14:paraId="087F03DA" w14:textId="77777777" w:rsidR="00736B2E" w:rsidRDefault="00736B2E" w:rsidP="002F2C2C">
      <w:pPr>
        <w:jc w:val="both"/>
        <w:rPr>
          <w:rFonts w:ascii="Palatino Linotype" w:hAnsi="Palatino Linotype"/>
          <w:sz w:val="22"/>
          <w:szCs w:val="22"/>
        </w:rPr>
      </w:pPr>
    </w:p>
    <w:p w14:paraId="672568D4" w14:textId="77777777" w:rsidR="005D169F" w:rsidRDefault="00567C38" w:rsidP="002F2C2C">
      <w:pPr>
        <w:jc w:val="both"/>
        <w:rPr>
          <w:rFonts w:ascii="Palatino Linotype" w:hAnsi="Palatino Linotype"/>
          <w:sz w:val="22"/>
          <w:szCs w:val="22"/>
        </w:rPr>
      </w:pPr>
      <w:r>
        <w:rPr>
          <w:rFonts w:ascii="Palatino Linotype" w:hAnsi="Palatino Linotype"/>
          <w:sz w:val="22"/>
          <w:szCs w:val="22"/>
        </w:rPr>
        <w:t xml:space="preserve">Możliwości </w:t>
      </w:r>
      <w:proofErr w:type="spellStart"/>
      <w:r>
        <w:rPr>
          <w:rFonts w:ascii="Palatino Linotype" w:hAnsi="Palatino Linotype"/>
          <w:sz w:val="22"/>
          <w:szCs w:val="22"/>
        </w:rPr>
        <w:t>Frankowiczów</w:t>
      </w:r>
      <w:proofErr w:type="spellEnd"/>
      <w:r>
        <w:rPr>
          <w:rFonts w:ascii="Palatino Linotype" w:hAnsi="Palatino Linotype"/>
          <w:sz w:val="22"/>
          <w:szCs w:val="22"/>
        </w:rPr>
        <w:t xml:space="preserve"> w kontekście uchwały frankowej zasadniczo nie zmieniły się. Kredytobiorcy mogą domagać się uznania ich umów za nieważne, </w:t>
      </w:r>
      <w:r w:rsidR="005D169F">
        <w:rPr>
          <w:rFonts w:ascii="Palatino Linotype" w:hAnsi="Palatino Linotype"/>
          <w:sz w:val="22"/>
          <w:szCs w:val="22"/>
        </w:rPr>
        <w:t xml:space="preserve">co skutkuje tym, że strony umowy musza zwrócić sobie to, co od siebie dostały – bank oddaje kredytobiorcy wszystko, co ten wpłacił, zaś kredytobiorca kwotę kredytu, którą bank mu udostępnił. Dodatkowo za czas trwania procesu kredytobiorcy należą się odsetki ustawowe za opóźnienie, które aktualnie wynoszą 11,25 % w skali roku od dochodzonej kwoty. Wyrok ustalający nieważność umowy kredytu powoduje także uprawnienie do wykreślenia hipoteki banku z księgi wieczystej nieruchomości. </w:t>
      </w:r>
    </w:p>
    <w:p w14:paraId="4D006597" w14:textId="77777777" w:rsidR="005D169F" w:rsidRDefault="005D169F" w:rsidP="002F2C2C">
      <w:pPr>
        <w:jc w:val="both"/>
        <w:rPr>
          <w:rFonts w:ascii="Palatino Linotype" w:hAnsi="Palatino Linotype"/>
          <w:sz w:val="22"/>
          <w:szCs w:val="22"/>
        </w:rPr>
      </w:pPr>
    </w:p>
    <w:p w14:paraId="091A0C48" w14:textId="628F70A5" w:rsidR="00A6668F" w:rsidRDefault="00A6668F" w:rsidP="002F2C2C">
      <w:pPr>
        <w:jc w:val="both"/>
        <w:rPr>
          <w:rFonts w:ascii="Palatino Linotype" w:hAnsi="Palatino Linotype"/>
          <w:sz w:val="22"/>
          <w:szCs w:val="22"/>
        </w:rPr>
      </w:pPr>
      <w:r>
        <w:rPr>
          <w:rFonts w:ascii="Palatino Linotype" w:hAnsi="Palatino Linotype"/>
          <w:sz w:val="22"/>
          <w:szCs w:val="22"/>
        </w:rPr>
        <w:t xml:space="preserve">Wydaje się także, </w:t>
      </w:r>
      <w:r w:rsidR="005D169F">
        <w:rPr>
          <w:rFonts w:ascii="Palatino Linotype" w:hAnsi="Palatino Linotype"/>
          <w:sz w:val="22"/>
          <w:szCs w:val="22"/>
        </w:rPr>
        <w:t>że</w:t>
      </w:r>
      <w:r>
        <w:rPr>
          <w:rFonts w:ascii="Palatino Linotype" w:hAnsi="Palatino Linotype"/>
          <w:sz w:val="22"/>
          <w:szCs w:val="22"/>
        </w:rPr>
        <w:t xml:space="preserve"> definitywnie zakończył się </w:t>
      </w:r>
      <w:r w:rsidR="005D169F">
        <w:rPr>
          <w:rFonts w:ascii="Palatino Linotype" w:hAnsi="Palatino Linotype"/>
          <w:sz w:val="22"/>
          <w:szCs w:val="22"/>
        </w:rPr>
        <w:t xml:space="preserve">żywot </w:t>
      </w:r>
      <w:r>
        <w:rPr>
          <w:rFonts w:ascii="Palatino Linotype" w:hAnsi="Palatino Linotype"/>
          <w:sz w:val="22"/>
          <w:szCs w:val="22"/>
        </w:rPr>
        <w:t>konstrukcji tzw. „</w:t>
      </w:r>
      <w:proofErr w:type="spellStart"/>
      <w:r>
        <w:rPr>
          <w:rFonts w:ascii="Palatino Linotype" w:hAnsi="Palatino Linotype"/>
          <w:sz w:val="22"/>
          <w:szCs w:val="22"/>
        </w:rPr>
        <w:t>odfrankowienia</w:t>
      </w:r>
      <w:proofErr w:type="spellEnd"/>
      <w:r>
        <w:rPr>
          <w:rFonts w:ascii="Palatino Linotype" w:hAnsi="Palatino Linotype"/>
          <w:sz w:val="22"/>
          <w:szCs w:val="22"/>
        </w:rPr>
        <w:t xml:space="preserve">”. </w:t>
      </w:r>
      <w:r w:rsidR="005D169F">
        <w:rPr>
          <w:rFonts w:ascii="Palatino Linotype" w:hAnsi="Palatino Linotype"/>
          <w:sz w:val="22"/>
          <w:szCs w:val="22"/>
        </w:rPr>
        <w:t>Zresztą to już widać w sądach. Sędziowie, którzy</w:t>
      </w:r>
      <w:r w:rsidR="00FA5CDE">
        <w:rPr>
          <w:rFonts w:ascii="Palatino Linotype" w:hAnsi="Palatino Linotype"/>
          <w:sz w:val="22"/>
          <w:szCs w:val="22"/>
        </w:rPr>
        <w:t xml:space="preserve"> jeszcze niedawno</w:t>
      </w:r>
      <w:r w:rsidR="005D169F">
        <w:rPr>
          <w:rFonts w:ascii="Palatino Linotype" w:hAnsi="Palatino Linotype"/>
          <w:sz w:val="22"/>
          <w:szCs w:val="22"/>
        </w:rPr>
        <w:t xml:space="preserve"> dopuszczali </w:t>
      </w:r>
      <w:r w:rsidR="00FA5CDE">
        <w:rPr>
          <w:rFonts w:ascii="Palatino Linotype" w:hAnsi="Palatino Linotype"/>
          <w:sz w:val="22"/>
          <w:szCs w:val="22"/>
        </w:rPr>
        <w:t xml:space="preserve">dowód z opinii biegłego, który wyliczał roszczenia kredytobiorców przy </w:t>
      </w:r>
      <w:proofErr w:type="spellStart"/>
      <w:r w:rsidR="00FA5CDE">
        <w:rPr>
          <w:rFonts w:ascii="Palatino Linotype" w:hAnsi="Palatino Linotype"/>
          <w:sz w:val="22"/>
          <w:szCs w:val="22"/>
        </w:rPr>
        <w:t>odfrankowieniu</w:t>
      </w:r>
      <w:proofErr w:type="spellEnd"/>
      <w:r w:rsidR="00FA5CDE">
        <w:rPr>
          <w:rFonts w:ascii="Palatino Linotype" w:hAnsi="Palatino Linotype"/>
          <w:sz w:val="22"/>
          <w:szCs w:val="22"/>
        </w:rPr>
        <w:t xml:space="preserve">, przestali to robić. </w:t>
      </w:r>
    </w:p>
    <w:p w14:paraId="5A514B2C" w14:textId="77777777" w:rsidR="00A6668F" w:rsidRDefault="00A6668F" w:rsidP="002F2C2C">
      <w:pPr>
        <w:jc w:val="both"/>
        <w:rPr>
          <w:rFonts w:ascii="Palatino Linotype" w:hAnsi="Palatino Linotype"/>
          <w:sz w:val="22"/>
          <w:szCs w:val="22"/>
        </w:rPr>
      </w:pPr>
    </w:p>
    <w:p w14:paraId="74625087" w14:textId="77777777" w:rsidR="00A6668F" w:rsidRDefault="00A6668F" w:rsidP="002F2C2C">
      <w:pPr>
        <w:jc w:val="both"/>
        <w:rPr>
          <w:rFonts w:ascii="Palatino Linotype" w:hAnsi="Palatino Linotype"/>
          <w:sz w:val="22"/>
          <w:szCs w:val="22"/>
        </w:rPr>
      </w:pPr>
    </w:p>
    <w:p w14:paraId="09039A78" w14:textId="6BA9C477" w:rsidR="00A6668F" w:rsidRDefault="00A6668F" w:rsidP="002F2C2C">
      <w:pPr>
        <w:jc w:val="both"/>
        <w:rPr>
          <w:rFonts w:ascii="Palatino Linotype" w:hAnsi="Palatino Linotype"/>
          <w:b/>
          <w:bCs/>
          <w:sz w:val="22"/>
          <w:szCs w:val="22"/>
        </w:rPr>
      </w:pPr>
      <w:r w:rsidRPr="002F2C2C">
        <w:rPr>
          <w:rFonts w:ascii="Palatino Linotype" w:hAnsi="Palatino Linotype"/>
          <w:b/>
          <w:bCs/>
          <w:sz w:val="22"/>
          <w:szCs w:val="22"/>
        </w:rPr>
        <w:t>Czy spodziewamy się kolejnych zmian?</w:t>
      </w:r>
    </w:p>
    <w:p w14:paraId="5F614960" w14:textId="77777777" w:rsidR="00A6668F" w:rsidRDefault="00A6668F" w:rsidP="002F2C2C">
      <w:pPr>
        <w:jc w:val="both"/>
        <w:rPr>
          <w:rFonts w:ascii="Palatino Linotype" w:hAnsi="Palatino Linotype"/>
          <w:b/>
          <w:bCs/>
          <w:sz w:val="22"/>
          <w:szCs w:val="22"/>
        </w:rPr>
      </w:pPr>
    </w:p>
    <w:p w14:paraId="43625295" w14:textId="33EEADB7" w:rsidR="005D169F" w:rsidRPr="005D169F" w:rsidRDefault="005D169F" w:rsidP="002F2C2C">
      <w:pPr>
        <w:jc w:val="both"/>
        <w:rPr>
          <w:rFonts w:ascii="Palatino Linotype" w:hAnsi="Palatino Linotype"/>
          <w:sz w:val="22"/>
          <w:szCs w:val="22"/>
        </w:rPr>
      </w:pPr>
      <w:proofErr w:type="spellStart"/>
      <w:r w:rsidRPr="005D169F">
        <w:rPr>
          <w:rFonts w:ascii="Palatino Linotype" w:hAnsi="Palatino Linotype"/>
          <w:sz w:val="22"/>
          <w:szCs w:val="22"/>
        </w:rPr>
        <w:t>Frankowicze</w:t>
      </w:r>
      <w:proofErr w:type="spellEnd"/>
      <w:r w:rsidRPr="005D169F">
        <w:rPr>
          <w:rFonts w:ascii="Palatino Linotype" w:hAnsi="Palatino Linotype"/>
          <w:sz w:val="22"/>
          <w:szCs w:val="22"/>
        </w:rPr>
        <w:t xml:space="preserve"> nie powinni spodziewać się zmian, racz</w:t>
      </w:r>
      <w:r>
        <w:rPr>
          <w:rFonts w:ascii="Palatino Linotype" w:hAnsi="Palatino Linotype"/>
          <w:sz w:val="22"/>
          <w:szCs w:val="22"/>
        </w:rPr>
        <w:t>e</w:t>
      </w:r>
      <w:r w:rsidRPr="005D169F">
        <w:rPr>
          <w:rFonts w:ascii="Palatino Linotype" w:hAnsi="Palatino Linotype"/>
          <w:sz w:val="22"/>
          <w:szCs w:val="22"/>
        </w:rPr>
        <w:t>j</w:t>
      </w:r>
      <w:r>
        <w:rPr>
          <w:rFonts w:ascii="Palatino Linotype" w:hAnsi="Palatino Linotype"/>
          <w:sz w:val="22"/>
          <w:szCs w:val="22"/>
        </w:rPr>
        <w:t xml:space="preserve"> przyspieszeni</w:t>
      </w:r>
      <w:r w:rsidR="00FA5CDE">
        <w:rPr>
          <w:rFonts w:ascii="Palatino Linotype" w:hAnsi="Palatino Linotype"/>
          <w:sz w:val="22"/>
          <w:szCs w:val="22"/>
        </w:rPr>
        <w:t>a</w:t>
      </w:r>
      <w:r>
        <w:rPr>
          <w:rFonts w:ascii="Palatino Linotype" w:hAnsi="Palatino Linotype"/>
          <w:sz w:val="22"/>
          <w:szCs w:val="22"/>
        </w:rPr>
        <w:t xml:space="preserve"> ich </w:t>
      </w:r>
      <w:r w:rsidR="00FA5CDE">
        <w:rPr>
          <w:rFonts w:ascii="Palatino Linotype" w:hAnsi="Palatino Linotype"/>
          <w:sz w:val="22"/>
          <w:szCs w:val="22"/>
        </w:rPr>
        <w:t>postępowań,</w:t>
      </w:r>
      <w:r w:rsidR="001A7E7A">
        <w:rPr>
          <w:rFonts w:ascii="Palatino Linotype" w:hAnsi="Palatino Linotype"/>
          <w:sz w:val="22"/>
          <w:szCs w:val="22"/>
        </w:rPr>
        <w:t xml:space="preserve"> ponieważ sędziowie mogą bez większych przeszkód orzekać. Z drugiej strony </w:t>
      </w:r>
      <w:r w:rsidR="008B053A">
        <w:rPr>
          <w:rFonts w:ascii="Palatino Linotype" w:hAnsi="Palatino Linotype"/>
          <w:sz w:val="22"/>
          <w:szCs w:val="22"/>
        </w:rPr>
        <w:t>po uchwale</w:t>
      </w:r>
      <w:r w:rsidR="00FA5CDE">
        <w:rPr>
          <w:rFonts w:ascii="Palatino Linotype" w:hAnsi="Palatino Linotype"/>
          <w:sz w:val="22"/>
          <w:szCs w:val="22"/>
        </w:rPr>
        <w:t xml:space="preserve"> pewnie kolejna grupa kredytobiorców, którzy nie zdecydowali się jeszcze pozwać banku, ruszy do sądów</w:t>
      </w:r>
      <w:r w:rsidR="008B053A">
        <w:rPr>
          <w:rFonts w:ascii="Palatino Linotype" w:hAnsi="Palatino Linotype"/>
          <w:sz w:val="22"/>
          <w:szCs w:val="22"/>
        </w:rPr>
        <w:t xml:space="preserve">, a jak widać gra jest warta przysłowiowej świeczki. </w:t>
      </w:r>
      <w:r w:rsidR="00FA5CDE">
        <w:rPr>
          <w:rFonts w:ascii="Palatino Linotype" w:hAnsi="Palatino Linotype"/>
          <w:sz w:val="22"/>
          <w:szCs w:val="22"/>
        </w:rPr>
        <w:t>Już widać wzrost liczby spraw</w:t>
      </w:r>
      <w:r w:rsidR="001A7E7A">
        <w:rPr>
          <w:rFonts w:ascii="Palatino Linotype" w:hAnsi="Palatino Linotype"/>
          <w:sz w:val="22"/>
          <w:szCs w:val="22"/>
        </w:rPr>
        <w:t xml:space="preserve"> rejestrowanych w </w:t>
      </w:r>
      <w:r w:rsidR="008B053A">
        <w:rPr>
          <w:rFonts w:ascii="Palatino Linotype" w:hAnsi="Palatino Linotype"/>
          <w:sz w:val="22"/>
          <w:szCs w:val="22"/>
        </w:rPr>
        <w:t xml:space="preserve">wymiarze sprawiedliwości. </w:t>
      </w:r>
    </w:p>
    <w:p w14:paraId="5AE24EA0" w14:textId="77777777" w:rsidR="005D169F" w:rsidRDefault="005D169F" w:rsidP="002F2C2C">
      <w:pPr>
        <w:jc w:val="both"/>
        <w:rPr>
          <w:rFonts w:ascii="Palatino Linotype" w:hAnsi="Palatino Linotype"/>
          <w:b/>
          <w:bCs/>
          <w:sz w:val="22"/>
          <w:szCs w:val="22"/>
        </w:rPr>
      </w:pPr>
    </w:p>
    <w:p w14:paraId="122EADA8" w14:textId="1FC568B3" w:rsidR="007513E5" w:rsidRPr="002F2C2C" w:rsidRDefault="007513E5" w:rsidP="00FF3389">
      <w:pPr>
        <w:jc w:val="both"/>
        <w:rPr>
          <w:rFonts w:ascii="Palatino Linotype" w:hAnsi="Palatino Linotype"/>
          <w:sz w:val="22"/>
          <w:szCs w:val="22"/>
        </w:rPr>
      </w:pPr>
    </w:p>
    <w:sectPr w:rsidR="007513E5" w:rsidRPr="002F2C2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CDAAA" w14:textId="77777777" w:rsidR="00A655D9" w:rsidRDefault="00A655D9" w:rsidP="00952C79">
      <w:r>
        <w:separator/>
      </w:r>
    </w:p>
  </w:endnote>
  <w:endnote w:type="continuationSeparator" w:id="0">
    <w:p w14:paraId="00986039" w14:textId="77777777" w:rsidR="00A655D9" w:rsidRDefault="00A655D9" w:rsidP="0095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00000001"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00A3E" w14:textId="717FC9A7" w:rsidR="00952C79" w:rsidRPr="00952C79" w:rsidRDefault="00952C79" w:rsidP="00952C79">
    <w:pPr>
      <w:pStyle w:val="Stopka"/>
      <w:jc w:val="center"/>
      <w:rPr>
        <w:rFonts w:ascii="Calibri" w:hAnsi="Calibri" w:cs="Calibri"/>
        <w:sz w:val="20"/>
        <w:szCs w:val="20"/>
      </w:rPr>
    </w:pPr>
    <w:r w:rsidRPr="00952C79">
      <w:rPr>
        <w:rFonts w:ascii="Calibri" w:hAnsi="Calibri" w:cs="Calibri"/>
        <w:sz w:val="20"/>
        <w:szCs w:val="20"/>
      </w:rPr>
      <w:t xml:space="preserve">Kontakt dla mediów: Agencja Face It; Anna </w:t>
    </w:r>
    <w:r w:rsidRPr="00952C79">
      <w:rPr>
        <w:rFonts w:ascii="Calibri" w:hAnsi="Calibri" w:cs="Calibri"/>
        <w:sz w:val="20"/>
        <w:szCs w:val="20"/>
      </w:rPr>
      <w:t>Wąsowska</w:t>
    </w:r>
    <w:r w:rsidRPr="00952C79">
      <w:rPr>
        <w:rFonts w:ascii="Calibri" w:hAnsi="Calibri" w:cs="Calibri"/>
        <w:sz w:val="20"/>
        <w:szCs w:val="20"/>
      </w:rPr>
      <w:t xml:space="preserve">, tel.: </w:t>
    </w:r>
    <w:r w:rsidRPr="00952C79">
      <w:rPr>
        <w:rFonts w:ascii="Calibri" w:hAnsi="Calibri" w:cs="Calibri"/>
        <w:sz w:val="20"/>
        <w:szCs w:val="20"/>
      </w:rPr>
      <w:t>452 931 564</w:t>
    </w:r>
    <w:r w:rsidRPr="00952C79">
      <w:rPr>
        <w:rFonts w:ascii="Calibri" w:hAnsi="Calibri" w:cs="Calibri"/>
        <w:sz w:val="20"/>
        <w:szCs w:val="20"/>
      </w:rPr>
      <w:t xml:space="preserve">, </w:t>
    </w:r>
    <w:r w:rsidRPr="00952C79">
      <w:rPr>
        <w:rFonts w:ascii="Calibri" w:hAnsi="Calibri" w:cs="Calibri"/>
        <w:sz w:val="20"/>
        <w:szCs w:val="20"/>
      </w:rPr>
      <w:br/>
      <w:t>e-mail: a.</w:t>
    </w:r>
    <w:r w:rsidRPr="00952C79">
      <w:rPr>
        <w:rFonts w:ascii="Calibri" w:hAnsi="Calibri" w:cs="Calibri"/>
        <w:sz w:val="20"/>
        <w:szCs w:val="20"/>
      </w:rPr>
      <w:t>wasowska</w:t>
    </w:r>
    <w:r w:rsidRPr="00952C79">
      <w:rPr>
        <w:rFonts w:ascii="Calibri" w:hAnsi="Calibri" w:cs="Calibri"/>
        <w:sz w:val="20"/>
        <w:szCs w:val="20"/>
      </w:rPr>
      <w:t>@agencjafaceit.pl</w:t>
    </w:r>
  </w:p>
  <w:p w14:paraId="79E1CE44" w14:textId="77777777" w:rsidR="00952C79" w:rsidRDefault="00952C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A8B72" w14:textId="77777777" w:rsidR="00A655D9" w:rsidRDefault="00A655D9" w:rsidP="00952C79">
      <w:r>
        <w:separator/>
      </w:r>
    </w:p>
  </w:footnote>
  <w:footnote w:type="continuationSeparator" w:id="0">
    <w:p w14:paraId="5C63A56A" w14:textId="77777777" w:rsidR="00A655D9" w:rsidRDefault="00A655D9" w:rsidP="00952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AF425" w14:textId="4F107ECF" w:rsidR="00952C79" w:rsidRDefault="00952C79">
    <w:pPr>
      <w:pStyle w:val="Nagwek"/>
    </w:pPr>
    <w:r>
      <w:rPr>
        <w:noProof/>
        <w:lang w:eastAsia="pl-PL"/>
      </w:rPr>
      <w:drawing>
        <wp:anchor distT="0" distB="0" distL="114300" distR="114300" simplePos="0" relativeHeight="251658240" behindDoc="1" locked="0" layoutInCell="1" allowOverlap="1" wp14:anchorId="79D8EF21" wp14:editId="1FFBE78D">
          <wp:simplePos x="0" y="0"/>
          <wp:positionH relativeFrom="column">
            <wp:posOffset>4243705</wp:posOffset>
          </wp:positionH>
          <wp:positionV relativeFrom="paragraph">
            <wp:posOffset>-154305</wp:posOffset>
          </wp:positionV>
          <wp:extent cx="2038350" cy="381000"/>
          <wp:effectExtent l="0" t="0" r="0" b="0"/>
          <wp:wrapTight wrapText="bothSides">
            <wp:wrapPolygon edited="0">
              <wp:start x="0" y="0"/>
              <wp:lineTo x="0" y="20520"/>
              <wp:lineTo x="21398" y="20520"/>
              <wp:lineTo x="21398" y="0"/>
              <wp:lineTo x="0" y="0"/>
            </wp:wrapPolygon>
          </wp:wrapTight>
          <wp:docPr id="1" name="Obraz 1" descr="C:\Users\Anna Grubińska\Desktop\Karolina Pilawska\Pilawska Zorski Adwokac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 Grubińska\Desktop\Karolina Pilawska\Pilawska Zorski Adwokaci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89"/>
    <w:rsid w:val="000F02D6"/>
    <w:rsid w:val="001A7E7A"/>
    <w:rsid w:val="001C374C"/>
    <w:rsid w:val="002F2C2C"/>
    <w:rsid w:val="00323715"/>
    <w:rsid w:val="00531AD4"/>
    <w:rsid w:val="0054221A"/>
    <w:rsid w:val="00567C38"/>
    <w:rsid w:val="005B0480"/>
    <w:rsid w:val="005D169F"/>
    <w:rsid w:val="00736B2E"/>
    <w:rsid w:val="007513E5"/>
    <w:rsid w:val="008B053A"/>
    <w:rsid w:val="008B52F0"/>
    <w:rsid w:val="008C0628"/>
    <w:rsid w:val="00952C79"/>
    <w:rsid w:val="00A26F8A"/>
    <w:rsid w:val="00A655D9"/>
    <w:rsid w:val="00A6668F"/>
    <w:rsid w:val="00B84EF9"/>
    <w:rsid w:val="00C764AA"/>
    <w:rsid w:val="00D24FE6"/>
    <w:rsid w:val="00FA5CDE"/>
    <w:rsid w:val="00FF3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338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FF338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FF3389"/>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FF3389"/>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FF3389"/>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FF3389"/>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FF3389"/>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FF3389"/>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FF3389"/>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3389"/>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FF3389"/>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FF3389"/>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FF3389"/>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FF3389"/>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FF3389"/>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FF3389"/>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FF3389"/>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FF3389"/>
    <w:rPr>
      <w:rFonts w:eastAsiaTheme="majorEastAsia" w:cstheme="majorBidi"/>
      <w:color w:val="272727" w:themeColor="text1" w:themeTint="D8"/>
    </w:rPr>
  </w:style>
  <w:style w:type="paragraph" w:styleId="Tytu">
    <w:name w:val="Title"/>
    <w:basedOn w:val="Normalny"/>
    <w:next w:val="Normalny"/>
    <w:link w:val="TytuZnak"/>
    <w:uiPriority w:val="10"/>
    <w:qFormat/>
    <w:rsid w:val="00FF3389"/>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F3389"/>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F3389"/>
    <w:pPr>
      <w:numPr>
        <w:ilvl w:val="1"/>
      </w:numPr>
      <w:spacing w:after="160"/>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FF3389"/>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FF3389"/>
    <w:pPr>
      <w:spacing w:before="160" w:after="160"/>
      <w:jc w:val="center"/>
    </w:pPr>
    <w:rPr>
      <w:i/>
      <w:iCs/>
      <w:color w:val="404040" w:themeColor="text1" w:themeTint="BF"/>
    </w:rPr>
  </w:style>
  <w:style w:type="character" w:customStyle="1" w:styleId="CytatZnak">
    <w:name w:val="Cytat Znak"/>
    <w:basedOn w:val="Domylnaczcionkaakapitu"/>
    <w:link w:val="Cytat"/>
    <w:uiPriority w:val="29"/>
    <w:rsid w:val="00FF3389"/>
    <w:rPr>
      <w:i/>
      <w:iCs/>
      <w:color w:val="404040" w:themeColor="text1" w:themeTint="BF"/>
    </w:rPr>
  </w:style>
  <w:style w:type="paragraph" w:styleId="Akapitzlist">
    <w:name w:val="List Paragraph"/>
    <w:basedOn w:val="Normalny"/>
    <w:uiPriority w:val="34"/>
    <w:qFormat/>
    <w:rsid w:val="00FF3389"/>
    <w:pPr>
      <w:ind w:left="720"/>
      <w:contextualSpacing/>
    </w:pPr>
  </w:style>
  <w:style w:type="character" w:styleId="Wyrnienieintensywne">
    <w:name w:val="Intense Emphasis"/>
    <w:basedOn w:val="Domylnaczcionkaakapitu"/>
    <w:uiPriority w:val="21"/>
    <w:qFormat/>
    <w:rsid w:val="00FF3389"/>
    <w:rPr>
      <w:i/>
      <w:iCs/>
      <w:color w:val="0F4761" w:themeColor="accent1" w:themeShade="BF"/>
    </w:rPr>
  </w:style>
  <w:style w:type="paragraph" w:styleId="Cytatintensywny">
    <w:name w:val="Intense Quote"/>
    <w:basedOn w:val="Normalny"/>
    <w:next w:val="Normalny"/>
    <w:link w:val="CytatintensywnyZnak"/>
    <w:uiPriority w:val="30"/>
    <w:qFormat/>
    <w:rsid w:val="00FF33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FF3389"/>
    <w:rPr>
      <w:i/>
      <w:iCs/>
      <w:color w:val="0F4761" w:themeColor="accent1" w:themeShade="BF"/>
    </w:rPr>
  </w:style>
  <w:style w:type="character" w:styleId="Odwoanieintensywne">
    <w:name w:val="Intense Reference"/>
    <w:basedOn w:val="Domylnaczcionkaakapitu"/>
    <w:uiPriority w:val="32"/>
    <w:qFormat/>
    <w:rsid w:val="00FF3389"/>
    <w:rPr>
      <w:b/>
      <w:bCs/>
      <w:smallCaps/>
      <w:color w:val="0F4761" w:themeColor="accent1" w:themeShade="BF"/>
      <w:spacing w:val="5"/>
    </w:rPr>
  </w:style>
  <w:style w:type="paragraph" w:styleId="Nagwek">
    <w:name w:val="header"/>
    <w:basedOn w:val="Normalny"/>
    <w:link w:val="NagwekZnak"/>
    <w:uiPriority w:val="99"/>
    <w:unhideWhenUsed/>
    <w:rsid w:val="00952C79"/>
    <w:pPr>
      <w:tabs>
        <w:tab w:val="center" w:pos="4536"/>
        <w:tab w:val="right" w:pos="9072"/>
      </w:tabs>
    </w:pPr>
  </w:style>
  <w:style w:type="character" w:customStyle="1" w:styleId="NagwekZnak">
    <w:name w:val="Nagłówek Znak"/>
    <w:basedOn w:val="Domylnaczcionkaakapitu"/>
    <w:link w:val="Nagwek"/>
    <w:uiPriority w:val="99"/>
    <w:rsid w:val="00952C79"/>
  </w:style>
  <w:style w:type="paragraph" w:styleId="Stopka">
    <w:name w:val="footer"/>
    <w:basedOn w:val="Normalny"/>
    <w:link w:val="StopkaZnak"/>
    <w:uiPriority w:val="99"/>
    <w:unhideWhenUsed/>
    <w:rsid w:val="00952C79"/>
    <w:pPr>
      <w:tabs>
        <w:tab w:val="center" w:pos="4536"/>
        <w:tab w:val="right" w:pos="9072"/>
      </w:tabs>
    </w:pPr>
  </w:style>
  <w:style w:type="character" w:customStyle="1" w:styleId="StopkaZnak">
    <w:name w:val="Stopka Znak"/>
    <w:basedOn w:val="Domylnaczcionkaakapitu"/>
    <w:link w:val="Stopka"/>
    <w:uiPriority w:val="99"/>
    <w:rsid w:val="00952C79"/>
  </w:style>
  <w:style w:type="paragraph" w:styleId="Tekstdymka">
    <w:name w:val="Balloon Text"/>
    <w:basedOn w:val="Normalny"/>
    <w:link w:val="TekstdymkaZnak"/>
    <w:uiPriority w:val="99"/>
    <w:semiHidden/>
    <w:unhideWhenUsed/>
    <w:rsid w:val="00952C79"/>
    <w:rPr>
      <w:rFonts w:ascii="Tahoma" w:hAnsi="Tahoma" w:cs="Tahoma"/>
      <w:sz w:val="16"/>
      <w:szCs w:val="16"/>
    </w:rPr>
  </w:style>
  <w:style w:type="character" w:customStyle="1" w:styleId="TekstdymkaZnak">
    <w:name w:val="Tekst dymka Znak"/>
    <w:basedOn w:val="Domylnaczcionkaakapitu"/>
    <w:link w:val="Tekstdymka"/>
    <w:uiPriority w:val="99"/>
    <w:semiHidden/>
    <w:rsid w:val="00952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338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FF338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FF3389"/>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FF3389"/>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FF3389"/>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FF3389"/>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FF3389"/>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FF3389"/>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FF3389"/>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3389"/>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FF3389"/>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FF3389"/>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FF3389"/>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FF3389"/>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FF3389"/>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FF3389"/>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FF3389"/>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FF3389"/>
    <w:rPr>
      <w:rFonts w:eastAsiaTheme="majorEastAsia" w:cstheme="majorBidi"/>
      <w:color w:val="272727" w:themeColor="text1" w:themeTint="D8"/>
    </w:rPr>
  </w:style>
  <w:style w:type="paragraph" w:styleId="Tytu">
    <w:name w:val="Title"/>
    <w:basedOn w:val="Normalny"/>
    <w:next w:val="Normalny"/>
    <w:link w:val="TytuZnak"/>
    <w:uiPriority w:val="10"/>
    <w:qFormat/>
    <w:rsid w:val="00FF3389"/>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F3389"/>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F3389"/>
    <w:pPr>
      <w:numPr>
        <w:ilvl w:val="1"/>
      </w:numPr>
      <w:spacing w:after="160"/>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FF3389"/>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FF3389"/>
    <w:pPr>
      <w:spacing w:before="160" w:after="160"/>
      <w:jc w:val="center"/>
    </w:pPr>
    <w:rPr>
      <w:i/>
      <w:iCs/>
      <w:color w:val="404040" w:themeColor="text1" w:themeTint="BF"/>
    </w:rPr>
  </w:style>
  <w:style w:type="character" w:customStyle="1" w:styleId="CytatZnak">
    <w:name w:val="Cytat Znak"/>
    <w:basedOn w:val="Domylnaczcionkaakapitu"/>
    <w:link w:val="Cytat"/>
    <w:uiPriority w:val="29"/>
    <w:rsid w:val="00FF3389"/>
    <w:rPr>
      <w:i/>
      <w:iCs/>
      <w:color w:val="404040" w:themeColor="text1" w:themeTint="BF"/>
    </w:rPr>
  </w:style>
  <w:style w:type="paragraph" w:styleId="Akapitzlist">
    <w:name w:val="List Paragraph"/>
    <w:basedOn w:val="Normalny"/>
    <w:uiPriority w:val="34"/>
    <w:qFormat/>
    <w:rsid w:val="00FF3389"/>
    <w:pPr>
      <w:ind w:left="720"/>
      <w:contextualSpacing/>
    </w:pPr>
  </w:style>
  <w:style w:type="character" w:styleId="Wyrnienieintensywne">
    <w:name w:val="Intense Emphasis"/>
    <w:basedOn w:val="Domylnaczcionkaakapitu"/>
    <w:uiPriority w:val="21"/>
    <w:qFormat/>
    <w:rsid w:val="00FF3389"/>
    <w:rPr>
      <w:i/>
      <w:iCs/>
      <w:color w:val="0F4761" w:themeColor="accent1" w:themeShade="BF"/>
    </w:rPr>
  </w:style>
  <w:style w:type="paragraph" w:styleId="Cytatintensywny">
    <w:name w:val="Intense Quote"/>
    <w:basedOn w:val="Normalny"/>
    <w:next w:val="Normalny"/>
    <w:link w:val="CytatintensywnyZnak"/>
    <w:uiPriority w:val="30"/>
    <w:qFormat/>
    <w:rsid w:val="00FF33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FF3389"/>
    <w:rPr>
      <w:i/>
      <w:iCs/>
      <w:color w:val="0F4761" w:themeColor="accent1" w:themeShade="BF"/>
    </w:rPr>
  </w:style>
  <w:style w:type="character" w:styleId="Odwoanieintensywne">
    <w:name w:val="Intense Reference"/>
    <w:basedOn w:val="Domylnaczcionkaakapitu"/>
    <w:uiPriority w:val="32"/>
    <w:qFormat/>
    <w:rsid w:val="00FF3389"/>
    <w:rPr>
      <w:b/>
      <w:bCs/>
      <w:smallCaps/>
      <w:color w:val="0F4761" w:themeColor="accent1" w:themeShade="BF"/>
      <w:spacing w:val="5"/>
    </w:rPr>
  </w:style>
  <w:style w:type="paragraph" w:styleId="Nagwek">
    <w:name w:val="header"/>
    <w:basedOn w:val="Normalny"/>
    <w:link w:val="NagwekZnak"/>
    <w:uiPriority w:val="99"/>
    <w:unhideWhenUsed/>
    <w:rsid w:val="00952C79"/>
    <w:pPr>
      <w:tabs>
        <w:tab w:val="center" w:pos="4536"/>
        <w:tab w:val="right" w:pos="9072"/>
      </w:tabs>
    </w:pPr>
  </w:style>
  <w:style w:type="character" w:customStyle="1" w:styleId="NagwekZnak">
    <w:name w:val="Nagłówek Znak"/>
    <w:basedOn w:val="Domylnaczcionkaakapitu"/>
    <w:link w:val="Nagwek"/>
    <w:uiPriority w:val="99"/>
    <w:rsid w:val="00952C79"/>
  </w:style>
  <w:style w:type="paragraph" w:styleId="Stopka">
    <w:name w:val="footer"/>
    <w:basedOn w:val="Normalny"/>
    <w:link w:val="StopkaZnak"/>
    <w:uiPriority w:val="99"/>
    <w:unhideWhenUsed/>
    <w:rsid w:val="00952C79"/>
    <w:pPr>
      <w:tabs>
        <w:tab w:val="center" w:pos="4536"/>
        <w:tab w:val="right" w:pos="9072"/>
      </w:tabs>
    </w:pPr>
  </w:style>
  <w:style w:type="character" w:customStyle="1" w:styleId="StopkaZnak">
    <w:name w:val="Stopka Znak"/>
    <w:basedOn w:val="Domylnaczcionkaakapitu"/>
    <w:link w:val="Stopka"/>
    <w:uiPriority w:val="99"/>
    <w:rsid w:val="00952C79"/>
  </w:style>
  <w:style w:type="paragraph" w:styleId="Tekstdymka">
    <w:name w:val="Balloon Text"/>
    <w:basedOn w:val="Normalny"/>
    <w:link w:val="TekstdymkaZnak"/>
    <w:uiPriority w:val="99"/>
    <w:semiHidden/>
    <w:unhideWhenUsed/>
    <w:rsid w:val="00952C79"/>
    <w:rPr>
      <w:rFonts w:ascii="Tahoma" w:hAnsi="Tahoma" w:cs="Tahoma"/>
      <w:sz w:val="16"/>
      <w:szCs w:val="16"/>
    </w:rPr>
  </w:style>
  <w:style w:type="character" w:customStyle="1" w:styleId="TekstdymkaZnak">
    <w:name w:val="Tekst dymka Znak"/>
    <w:basedOn w:val="Domylnaczcionkaakapitu"/>
    <w:link w:val="Tekstdymka"/>
    <w:uiPriority w:val="99"/>
    <w:semiHidden/>
    <w:rsid w:val="00952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8956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Pilawska | PZ Adwokaci</dc:creator>
  <cp:lastModifiedBy>Anna Grubińska</cp:lastModifiedBy>
  <cp:revision>2</cp:revision>
  <cp:lastPrinted>2024-05-22T14:34:00Z</cp:lastPrinted>
  <dcterms:created xsi:type="dcterms:W3CDTF">2024-05-23T08:56:00Z</dcterms:created>
  <dcterms:modified xsi:type="dcterms:W3CDTF">2024-05-23T08:56:00Z</dcterms:modified>
</cp:coreProperties>
</file>